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r>
        <w:t xml:space="preserve"> </w:t>
      </w:r>
      <w:r>
        <w:t xml:space="preserve">for</w:t>
      </w:r>
      <w:r>
        <w:t xml:space="preserve"> </w:t>
      </w:r>
      <w:r>
        <w:t xml:space="preserve">“</w:t>
      </w:r>
      <w:r>
        <w:t xml:space="preserve">Temporal</w:t>
      </w:r>
      <w:r>
        <w:t xml:space="preserve"> </w:t>
      </w:r>
      <w:r>
        <w:t xml:space="preserve">dynamics</w:t>
      </w:r>
      <w:r>
        <w:t xml:space="preserve"> </w:t>
      </w:r>
      <w:r>
        <w:t xml:space="preserve">of</w:t>
      </w:r>
      <w:r>
        <w:t xml:space="preserve"> </w:t>
      </w:r>
      <w:r>
        <w:t xml:space="preserve">auditory</w:t>
      </w:r>
      <w:r>
        <w:t xml:space="preserve"> </w:t>
      </w:r>
      <w:r>
        <w:t xml:space="preserve">bistable</w:t>
      </w:r>
      <w:r>
        <w:t xml:space="preserve"> </w:t>
      </w:r>
      <w:r>
        <w:t xml:space="preserve">perception</w:t>
      </w:r>
      <w:r>
        <w:t xml:space="preserve"> </w:t>
      </w:r>
      <w:r>
        <w:t xml:space="preserve">correlated</w:t>
      </w:r>
      <w:r>
        <w:t xml:space="preserve"> </w:t>
      </w:r>
      <w:r>
        <w:t xml:space="preserve">with</w:t>
      </w:r>
      <w:r>
        <w:t xml:space="preserve"> </w:t>
      </w:r>
      <w:r>
        <w:t xml:space="preserve">a</w:t>
      </w:r>
      <w:r>
        <w:t xml:space="preserve"> </w:t>
      </w:r>
      <w:r>
        <w:t xml:space="preserve">fluctuation</w:t>
      </w:r>
      <w:r>
        <w:t xml:space="preserve"> </w:t>
      </w:r>
      <w:r>
        <w:t xml:space="preserve">of</w:t>
      </w:r>
      <w:r>
        <w:t xml:space="preserve"> </w:t>
      </w:r>
      <w:r>
        <w:t xml:space="preserve">baseline</w:t>
      </w:r>
      <w:r>
        <w:t xml:space="preserve"> </w:t>
      </w:r>
      <w:r>
        <w:t xml:space="preserve">pupil</w:t>
      </w:r>
      <w:r>
        <w:t xml:space="preserve"> </w:t>
      </w:r>
      <w:r>
        <w:t xml:space="preserve">size</w:t>
      </w:r>
      <w:r>
        <w:t xml:space="preserve">”</w:t>
      </w:r>
    </w:p>
    <w:p>
      <w:pPr>
        <w:pStyle w:val="Author"/>
      </w:pPr>
      <w:r>
        <w:t xml:space="preserve">Yuta</w:t>
      </w:r>
      <w:r>
        <w:t xml:space="preserve"> </w:t>
      </w:r>
      <w:r>
        <w:t xml:space="preserve">Suzuki,</w:t>
      </w:r>
      <w:r>
        <w:t xml:space="preserve"> </w:t>
      </w:r>
      <w:r>
        <w:t xml:space="preserve">Hsin-I</w:t>
      </w:r>
      <w:r>
        <w:t xml:space="preserve"> </w:t>
      </w:r>
      <w:r>
        <w:t xml:space="preserve">Liao,</w:t>
      </w:r>
      <w:r>
        <w:t xml:space="preserve"> </w:t>
      </w:r>
      <w:r>
        <w:t xml:space="preserve">Shigeto</w:t>
      </w:r>
      <w:r>
        <w:t xml:space="preserve"> </w:t>
      </w:r>
      <w:r>
        <w:t xml:space="preserve">Furukawa</w:t>
      </w:r>
    </w:p>
    <w:p>
      <w:pPr>
        <w:pStyle w:val="Date"/>
      </w:pPr>
      <w:r>
        <w:t xml:space="preserve">25</w:t>
      </w:r>
      <w:r>
        <w:t xml:space="preserve"> </w:t>
      </w:r>
      <w:r>
        <w:t xml:space="preserve">January,</w:t>
      </w:r>
      <w:r>
        <w:t xml:space="preserve"> </w:t>
      </w:r>
      <w:r>
        <w:t xml:space="preserve">2022</w:t>
      </w:r>
    </w:p>
    <w:p>
      <w:r>
        <w:pict>
          <v:rect style="width:0;height:1.5pt" o:hralign="center" o:hrstd="t" o:hr="t"/>
        </w:pict>
      </w:r>
    </w:p>
    <w:p>
      <w:pPr>
        <w:pStyle w:val="FirstParagraph"/>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30" w:name="results"/>
    <w:p>
      <w:pPr>
        <w:pStyle w:val="Heading1"/>
      </w:pPr>
      <w:r>
        <w:t xml:space="preserve">Results</w:t>
      </w:r>
    </w:p>
    <w:bookmarkStart w:id="23" w:name="experiment-1"/>
    <w:p>
      <w:pPr>
        <w:pStyle w:val="Heading2"/>
      </w:pPr>
      <w:r>
        <w:t xml:space="preserve">Experiment 1</w:t>
      </w:r>
    </w:p>
    <w:bookmarkStart w:id="21"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1.4780229</w:t>
      </w:r>
      <w:r>
        <w:t xml:space="preserve">^{5}).</w:t>
      </w:r>
      <w:r>
        <w:t xml:space="preserve"> </w:t>
      </w:r>
      <w:r>
        <w:t xml:space="preserve">Post analysis showed that the number of trials for 1-alt cases was significantly larger than for 0- and &gt;1-alt cases</w:t>
      </w:r>
      <w:r>
        <w:t xml:space="preserve"> </w:t>
      </w:r>
      <w:r>
        <w:t xml:space="preserve">(</w:t>
      </w:r>
      <m:oMath>
        <m:r>
          <m:t>t</m:t>
        </m:r>
      </m:oMath>
      <w:r>
        <w:t xml:space="preserve">(21) = 2.614,</w:t>
      </w:r>
      <w:r>
        <w:t xml:space="preserve"> </w:t>
      </w:r>
      <m:oMath>
        <m:r>
          <m:t>p</m:t>
        </m:r>
      </m:oMath>
      <w:r>
        <w:t xml:space="preserve"> </w:t>
      </w:r>
      <w:r>
        <w:t xml:space="preserve">= 0.016,</w:t>
      </w:r>
      <w:r>
        <w:t xml:space="preserve"> </w:t>
      </w:r>
      <w:r>
        <w:t xml:space="preserve">Cohen’s</w:t>
      </w:r>
      <w:r>
        <w:t xml:space="preserve"> </w:t>
      </w:r>
      <m:oMath>
        <m:sSub>
          <m:e>
            <m:r>
              <m:t>d</m:t>
            </m:r>
          </m:e>
          <m:sub>
            <m:r>
              <m:t>z</m:t>
            </m:r>
          </m:sub>
        </m:sSub>
      </m:oMath>
      <w:r>
        <w:t xml:space="preserve"> </w:t>
      </w:r>
      <w:r>
        <w:t xml:space="preserve">= 0.557,</w:t>
      </w:r>
      <w:r>
        <w:t xml:space="preserve"> </w:t>
      </w:r>
      <m:oMath>
        <m:r>
          <m:t>B</m:t>
        </m:r>
        <m:sSub>
          <m:e>
            <m:r>
              <m:t>F</m:t>
            </m:r>
          </m:e>
          <m:sub>
            <m:r>
              <m:t>10</m:t>
            </m:r>
          </m:sub>
        </m:sSub>
      </m:oMath>
      <w:r>
        <w:t xml:space="preserve"> </w:t>
      </w:r>
      <w:r>
        <w:t xml:space="preserve">= 3.331;</w:t>
      </w:r>
      <w:r>
        <w:t xml:space="preserve"> </w:t>
      </w:r>
      <m:oMath>
        <m:r>
          <m:t>t</m:t>
        </m:r>
      </m:oMath>
      <w:r>
        <w:t xml:space="preserve">(21) = 6.143,</w:t>
      </w:r>
      <w:r>
        <w:t xml:space="preserve"> </w:t>
      </w:r>
      <m:oMath>
        <m:r>
          <m:t>p</m:t>
        </m:r>
      </m:oMath>
      <w:r>
        <w:t xml:space="preserve"> </w:t>
      </w:r>
      <w:r>
        <w:t xml:space="preserve">= 0,</w:t>
      </w:r>
      <w:r>
        <w:t xml:space="preserve"> </w:t>
      </w:r>
      <w:r>
        <w:t xml:space="preserve">Cohen’s</w:t>
      </w:r>
      <w:r>
        <w:t xml:space="preserve"> </w:t>
      </w:r>
      <m:oMath>
        <m:sSub>
          <m:e>
            <m:r>
              <m:t>d</m:t>
            </m:r>
          </m:e>
          <m:sub>
            <m:r>
              <m:t>z</m:t>
            </m:r>
          </m:sub>
        </m:sSub>
      </m:oMath>
      <w:r>
        <w:t xml:space="preserve"> </w:t>
      </w:r>
      <w:r>
        <w:t xml:space="preserve">= 1.31,</w:t>
      </w:r>
      <w:r>
        <w:t xml:space="preserve"> </w:t>
      </w:r>
      <m:oMath>
        <m:r>
          <m:t>B</m:t>
        </m:r>
        <m:sSub>
          <m:e>
            <m:r>
              <m:t>F</m:t>
            </m:r>
          </m:e>
          <m:sub>
            <m:r>
              <m:t>10</m:t>
            </m:r>
          </m:sub>
        </m:sSub>
      </m:oMath>
      <w:r>
        <w:t xml:space="preserve"> </w:t>
      </w:r>
      <w:r>
        <w:t xml:space="preserve">= 4741.359) and that for 0-alt cases was larger than for &gt;1-alt cases</w:t>
      </w:r>
      <w:r>
        <w:t xml:space="preserve"> </w:t>
      </w:r>
      <w:r>
        <w:t xml:space="preserve">(</w:t>
      </w:r>
      <m:oMath>
        <m:r>
          <m:t>t</m:t>
        </m:r>
      </m:oMath>
      <w:r>
        <w:t xml:space="preserve">(21) = 2.703,</w:t>
      </w:r>
      <w:r>
        <w:t xml:space="preserve"> </w:t>
      </w:r>
      <m:oMath>
        <m:r>
          <m:t>p</m:t>
        </m:r>
      </m:oMath>
      <w:r>
        <w:t xml:space="preserve"> </w:t>
      </w:r>
      <w:r>
        <w:t xml:space="preserve">= 0.013,</w:t>
      </w:r>
      <w:r>
        <w:t xml:space="preserve"> </w:t>
      </w:r>
      <w:r>
        <w:t xml:space="preserve">Cohen’s</w:t>
      </w:r>
      <w:r>
        <w:t xml:space="preserve"> </w:t>
      </w:r>
      <m:oMath>
        <m:sSub>
          <m:e>
            <m:r>
              <m:t>d</m:t>
            </m:r>
          </m:e>
          <m:sub>
            <m:r>
              <m:t>z</m:t>
            </m:r>
          </m:sub>
        </m:sSub>
      </m:oMath>
      <w:r>
        <w:t xml:space="preserve"> </w:t>
      </w:r>
      <w:r>
        <w:t xml:space="preserve">= 0.576,</w:t>
      </w:r>
      <w:r>
        <w:t xml:space="preserve"> </w:t>
      </w:r>
      <m:oMath>
        <m:r>
          <m:t>B</m:t>
        </m:r>
        <m:sSub>
          <m:e>
            <m:r>
              <m:t>F</m:t>
            </m:r>
          </m:e>
          <m:sub>
            <m:r>
              <m:t>10</m:t>
            </m:r>
          </m:sub>
        </m:sSub>
      </m:oMath>
      <w:r>
        <w:t xml:space="preserve"> </w:t>
      </w:r>
      <w:r>
        <w:t xml:space="preserve">= 3.921)</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0.161).</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(1.55,32.58) = 1.213,</w:t>
      </w:r>
      <w:r>
        <w:t xml:space="preserve"> </w:t>
      </w:r>
      <m:oMath>
        <m:r>
          <m:t>p</m:t>
        </m:r>
      </m:oMath>
      <w:r>
        <w:t xml:space="preserve"> </w:t>
      </w:r>
      <w:r>
        <w:t xml:space="preserve">= 0.301,</w:t>
      </w:r>
      <w:r>
        <w:t xml:space="preserve"> </w:t>
      </w:r>
      <m:oMath>
        <m:sSubSup>
          <m:e>
            <m:r>
              <m:t>η</m:t>
            </m:r>
          </m:e>
          <m:sub>
            <m:r>
              <m:t>p</m:t>
            </m:r>
          </m:sub>
          <m:sup>
            <m:r>
              <m:t>2</m:t>
            </m:r>
          </m:sup>
        </m:sSubSup>
      </m:oMath>
      <w:r>
        <w:t xml:space="preserve"> </w:t>
      </w:r>
      <w:r>
        <w:t xml:space="preserve">= 0.055,</w:t>
      </w:r>
      <w:r>
        <w:t xml:space="preserve"> </w:t>
      </w:r>
      <m:oMath>
        <m:r>
          <m:t>B</m:t>
        </m:r>
        <m:sSub>
          <m:e>
            <m:r>
              <m:t>F</m:t>
            </m:r>
          </m:e>
          <m:sub>
            <m:r>
              <m:t>10</m:t>
            </m:r>
          </m:sub>
        </m:sSub>
      </m:oMath>
      <w:r>
        <w:t xml:space="preserve"> </w:t>
      </w:r>
      <w:r>
        <w:t xml:space="preserve">= 0.314).</w:t>
      </w:r>
    </w:p>
    <w:bookmarkEnd w:id="21"/>
    <w:bookmarkStart w:id="22"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1304.695).</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0.78,</w:t>
      </w:r>
      <w:r>
        <w:t xml:space="preserve"> </w:t>
      </w:r>
      <m:oMath>
        <m:r>
          <m:t>B</m:t>
        </m:r>
        <m:sSub>
          <m:e>
            <m:r>
              <m:t>F</m:t>
            </m:r>
          </m:e>
          <m:sub>
            <m:r>
              <m:t>10</m:t>
            </m:r>
          </m:sub>
        </m:sSub>
      </m:oMath>
      <w:r>
        <w:t xml:space="preserve"> </w:t>
      </w:r>
      <w:r>
        <w:t xml:space="preserve">= 25.712;</w:t>
      </w:r>
      <w:r>
        <w:t xml:space="preserve"> </w:t>
      </w:r>
      <m:oMath>
        <m:r>
          <m:t>t</m:t>
        </m:r>
      </m:oMath>
      <w:r>
        <w:t xml:space="preserve">(21)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0.843,</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2"/>
    <w:bookmarkEnd w:id="23"/>
    <w:bookmarkStart w:id="26" w:name="experiment-2"/>
    <w:p>
      <w:pPr>
        <w:pStyle w:val="Heading2"/>
      </w:pPr>
      <w:r>
        <w:t xml:space="preserve">Experiment 2</w:t>
      </w:r>
    </w:p>
    <w:bookmarkStart w:id="24"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0.332).</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0.036).</w:t>
      </w:r>
      <w:r>
        <w:t xml:space="preserve"> </w:t>
      </w: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1.313).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4"/>
    <w:bookmarkStart w:id="25"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0.575,</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5"/>
    <w:bookmarkEnd w:id="26"/>
    <w:bookmarkStart w:id="27"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2.186),</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17.831),</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0.377).</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0.399);</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0.892;</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0.302, respectively).</w:t>
      </w:r>
      <w:r>
        <w:t xml:space="preserve"> </w:t>
      </w:r>
      <w:r>
        <w:t xml:space="preserve">There was a concern that the PD events and observed baseline pupil size were not sufficiently independent measures. For example, if the transient pupil dilation had a sufficiently slow time decay, the apparent baseline diameter would build up with accumulated PD events. To address this concern that the baseline pupil size might be affected by the PD events, we calculated the number of PD events in the baseline pupil size analysis in every 1-s time bin (Supplementary Fig. 2) and the correlation between the baseline pupil size and number of transient PD events (Supplementary Fig. 3). Note that the number of PD events during the early 4-s part of the observation period were summed and their order ranked across trials for each subject. The baseline pupil size after the window for calculating the number of PD events was parameterized by the rank order of the PD events. The results revealed that there was no statistical evidence that increasing the number of PD events can explain the baseline pupil size in both experiments.</w:t>
      </w:r>
    </w:p>
    <w:bookmarkEnd w:id="27"/>
    <w:bookmarkStart w:id="29" w:name="cross-correlation-function"/>
    <w:p>
      <w:pPr>
        <w:pStyle w:val="Heading2"/>
      </w:pPr>
      <w:r>
        <w:t xml:space="preserve">Cross-correlation function</w:t>
      </w:r>
    </w:p>
    <w:p>
      <w:pPr>
        <w:pStyle w:val="FirstParagraph"/>
      </w:pPr>
      <w:r>
        <w:t xml:space="preserve">The cross-correlation analysis (Fig. 5) revealed that the baseline pupil size and the number of perceptual alternations had a significant positive correlation over the range of nine trials; -6 to +3 trials with a lag of around 0. This result can be interpreted as indicating that the baseline pupil size at least 35 s (= 5 s x 6 trials + 5 s; see below) before the behavioral response predicts perceptual alternation and the overall correspondence between pupil size and the number of perceptual alternations is sustained for at least 45 s (5 s x 9 trials). It should be recalled that for a given trial (or the lag of 0 in Fig. 5), the window for deriving the baseline pupil size preceded the corresponding response by the duration of the observation period (therefore, an additional 5 s was included to derive the 35-s period), and that the observation period was varied randomly between 5 and 9 s (Fig. 1D, red line). Thus, the 35-s and 45-s durations shown above are conservative estimates, with the assumption that the representative observation period was the minimum of the randomization range.</w:t>
      </w:r>
    </w:p>
    <w:bookmarkStart w:id="28" w:name="statistical-analysis"/>
    <w:p>
      <w:pPr>
        <w:pStyle w:val="Heading3"/>
      </w:pPr>
      <w:r>
        <w:t xml:space="preserve">Statistical analysis</w:t>
      </w:r>
    </w:p>
    <w:p>
      <w:pPr>
        <w:pStyle w:val="FirstParagraph"/>
      </w:pPr>
      <w:r>
        <w:t xml:space="preserve">Mean baseline pupil size was subjected to a one-way repeated-measures analysis of variance (ANOVA) with the number of alternations as the within-subject factor in Experiment 1. A paired t-tests was applied to the mean baseline pupil size between the presence (alternation) and absence (no- alternation) of perceptual alternations in Experiment 2. The level of statistical significance was set to p &lt; 0.05 for all analyses. Pairwise comparisons of the main effects were corrected through multiple comparisons using the Bonferroni-Holm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 d_z for t-tests</w:t>
      </w:r>
      <w:r>
        <w:t xml:space="preserve"> </w:t>
      </w:r>
      <w:r>
        <w:rPr>
          <w:bCs/>
          <w:b/>
        </w:rPr>
        <w:t xml:space="preserve">(Cohen, 1988, p.48; Lakens, 2013)</w:t>
      </w:r>
      <w:r>
        <w:t xml:space="preserve">. Greenhouse–Geisser corrections were performed when the results of Mauchly’s sphericity test were significant. To quantify the evidence in the data, we performed Bayesian paired t-tests with a Cauchy prior width of r = 0.707 for effect size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Bayesian Factor (BF) estimates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p>
    <w:p>
      <w:pPr>
        <w:pStyle w:val="BodyText"/>
      </w:pPr>
      <w:r>
        <w:t xml:space="preserve">For baseline pupil size bin analysis, for each participant, all trials were sorted in ascending order based on the baseline pupil size and divided into five equally populated bins. This procedure led to an equal trial number in each pupil size bin. The number of perceptual alternations (Experiment 1) and the z-scored probability of perceptual alternation (Experiment 2) was averaged and fitted by the following two models to assess whether the behavioral variability (Y) can be explained by a monotonic fitting or second-order polynomials.</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represents regression coefficients, and</w:t>
      </w:r>
      <w:r>
        <w:t xml:space="preserve"> </w:t>
      </w:r>
      <m:oMath>
        <m:r>
          <m:t>P</m:t>
        </m:r>
      </m:oMath>
      <w:r>
        <w:t xml:space="preserve"> </w:t>
      </w:r>
      <w:r>
        <w:t xml:space="preserve">represents the baseline pupil response bins. The models were quantified using the Akaike information criterion (AIC), which specifies the evidence of goodness of fit for a model.</w:t>
      </w:r>
    </w:p>
    <w:bookmarkEnd w:id="28"/>
    <w:bookmarkEnd w:id="29"/>
    <w:bookmarkEnd w:id="30"/>
    <w:sectPr w:rsidR="00D253A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4C8A8B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F632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EC6B48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3B4E97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54A887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BF833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3E9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2576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0F2B62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41A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770AD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0"/>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6383"/>
    <w:pPr>
      <w:keepNext/>
      <w:keepLines/>
      <w:spacing w:after="0" w:line="480" w:lineRule="auto"/>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26383"/>
    <w:pPr>
      <w:keepNext/>
      <w:keepLines/>
      <w:spacing w:after="0" w:before="200" w:line="480" w:lineRule="auto"/>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26383"/>
    <w:pPr>
      <w:keepNext/>
      <w:keepLines/>
      <w:spacing w:after="0" w:line="480" w:lineRule="auto"/>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766F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EC5235"/>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D422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A7F93"/>
    <w:pPr>
      <w:keepNext/>
      <w:keepLines/>
      <w:jc w:val="right"/>
    </w:pPr>
    <w:rPr>
      <w:rFonts w:ascii="Times New Roman" w:hAnsi="Times New Roman"/>
    </w:rPr>
  </w:style>
  <w:style w:styleId="Date" w:type="paragraph">
    <w:name w:val="Date"/>
    <w:next w:val="BodyText"/>
    <w:qFormat/>
    <w:rsid w:val="00EA7F93"/>
    <w:pPr>
      <w:keepNext/>
      <w:keepLines/>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Suzuki" w:type="paragraph">
    <w:name w:val="Body Text Suzuki"/>
    <w:basedOn w:val="FirstParagraph"/>
    <w:qFormat/>
    <w:rsid w:val="004C1452"/>
    <w:rPr>
      <w:color w:val="FF0000"/>
    </w:rPr>
  </w:style>
  <w:style w:styleId="BodyText2" w:type="paragraph">
    <w:name w:val="Body Text 2"/>
    <w:basedOn w:val="Normal"/>
    <w:link w:val="BodyText2Char"/>
    <w:rsid w:val="00FB2AFF"/>
    <w:pPr>
      <w:spacing w:after="120" w:line="480" w:lineRule="auto"/>
    </w:pPr>
  </w:style>
  <w:style w:customStyle="1" w:styleId="BodyTextChar" w:type="character">
    <w:name w:val="Body Text Char"/>
    <w:basedOn w:val="DefaultParagraphFont"/>
    <w:link w:val="BodyText"/>
    <w:rsid w:val="007766FF"/>
    <w:rPr>
      <w:rFonts w:ascii="Times New Roman" w:hAnsi="Times New Roman"/>
    </w:rPr>
  </w:style>
  <w:style w:customStyle="1" w:styleId="BodyText2Char" w:type="character">
    <w:name w:val="Body Text 2 Char"/>
    <w:basedOn w:val="DefaultParagraphFont"/>
    <w:link w:val="BodyText2"/>
    <w:rsid w:val="00FB2AFF"/>
  </w:style>
  <w:style w:styleId="BookTitle" w:type="character">
    <w:name w:val="Book Title"/>
    <w:basedOn w:val="DefaultParagraphFont"/>
    <w:rsid w:val="00FB2AFF"/>
    <w:rPr>
      <w:b/>
      <w:bCs/>
      <w:i/>
      <w:iCs/>
      <w:spacing w:val="5"/>
    </w:rPr>
  </w:style>
  <w:style w:styleId="CommentText" w:type="paragraph">
    <w:name w:val="annotation text"/>
    <w:basedOn w:val="Normal"/>
    <w:link w:val="CommentTextChar"/>
    <w:unhideWhenUsed/>
    <w:rsid w:val="00FB2AFF"/>
    <w:rPr>
      <w:sz w:val="20"/>
      <w:szCs w:val="20"/>
    </w:rPr>
  </w:style>
  <w:style w:customStyle="1" w:styleId="CommentTextChar" w:type="character">
    <w:name w:val="Comment Text Char"/>
    <w:basedOn w:val="DefaultParagraphFont"/>
    <w:link w:val="CommentText"/>
    <w:rsid w:val="00FB2AFF"/>
    <w:rPr>
      <w:sz w:val="20"/>
      <w:szCs w:val="20"/>
    </w:rPr>
  </w:style>
  <w:style w:styleId="CommentSubject" w:type="paragraph">
    <w:name w:val="annotation subject"/>
    <w:basedOn w:val="CommentText"/>
    <w:next w:val="CommentText"/>
    <w:link w:val="CommentSubjectChar"/>
    <w:unhideWhenUsed/>
    <w:rsid w:val="00FB2AFF"/>
    <w:rPr>
      <w:b/>
      <w:bCs/>
    </w:rPr>
  </w:style>
  <w:style w:customStyle="1" w:styleId="CommentSubjectChar" w:type="character">
    <w:name w:val="Comment Subject Char"/>
    <w:basedOn w:val="CommentTextChar"/>
    <w:link w:val="CommentSubject"/>
    <w:rsid w:val="00FB2AFF"/>
    <w:rPr>
      <w:b/>
      <w:bCs/>
      <w:sz w:val="20"/>
      <w:szCs w:val="20"/>
    </w:rPr>
  </w:style>
  <w:style w:customStyle="1" w:styleId="Style1" w:type="paragraph">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yuuta.suzuki.fc@hco.ntt.co.jp" TargetMode="External" /></Relationships>
</file>

<file path=word/_rels/footnotes.xml.rels><?xml version="1.0" encoding="UTF-8"?><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 for “Temporal dynamics of auditory bistable perception correlated with a fluctuation of baseline pupil size”</dc:title>
  <dc:creator>Yuta Suzuki, Hsin-I Liao, Shigeto Furukawa</dc:creator>
  <cp:keywords/>
  <dcterms:created xsi:type="dcterms:W3CDTF">2022-01-25T01:37:33Z</dcterms:created>
  <dcterms:modified xsi:type="dcterms:W3CDTF">2022-01-25T01:37:33Z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January, 2022</vt:lpwstr>
  </property>
  <property fmtid="{D5CDD505-2E9C-101B-9397-08002B2CF9AE}" pid="3" name="output">
    <vt:lpwstr/>
  </property>
</Properties>
</file>