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04</w:t>
      </w:r>
      <w:r>
        <w:t xml:space="preserve"> </w:t>
      </w:r>
      <w:r>
        <w:t xml:space="preserve">January,</w:t>
      </w:r>
      <w:r>
        <w:t xml:space="preserve"> </w:t>
      </w:r>
      <w:r>
        <w:t xml:space="preserve">2022</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26.27</w:t>
      </w:r>
      <w:r>
        <w:t xml:space="preserve"> </w:t>
      </w:r>
      <m:oMath>
        <m:r>
          <m:rPr>
            <m:sty m:val="p"/>
          </m:rPr>
          <m:t>±</m:t>
        </m:r>
      </m:oMath>
      <w:r>
        <w:t xml:space="preserve"> </w:t>
      </w:r>
      <w:r>
        <w:t xml:space="preserve">12.4,</w:t>
      </w:r>
      <w:r>
        <w:t xml:space="preserve"> </w:t>
      </w:r>
      <w:r>
        <w:t xml:space="preserve">35.59</w:t>
      </w:r>
      <w:r>
        <w:t xml:space="preserve"> </w:t>
      </w:r>
      <m:oMath>
        <m:r>
          <m:rPr>
            <m:sty m:val="p"/>
          </m:rPr>
          <m:t>±</m:t>
        </m:r>
      </m:oMath>
      <w:r>
        <w:t xml:space="preserve"> </w:t>
      </w:r>
      <w:r>
        <w:t xml:space="preserve">10.18, and</w:t>
      </w:r>
      <w:r>
        <w:t xml:space="preserve"> </w:t>
      </w:r>
      <w:r>
        <w:t xml:space="preserve">14.68</w:t>
      </w:r>
      <w:r>
        <w:t xml:space="preserve"> </w:t>
      </w:r>
      <m:oMath>
        <m:r>
          <m:rPr>
            <m:sty m:val="p"/>
          </m:rPr>
          <m:t>±</m:t>
        </m:r>
      </m:oMath>
      <w:r>
        <w:t xml:space="preserve"> </w:t>
      </w:r>
      <w:r>
        <w:t xml:space="preserve">9.83, respectively</w:t>
      </w:r>
      <w:r>
        <w:t xml:space="preserve"> </w:t>
      </w:r>
      <w:r>
        <w:t xml:space="preserve">(</w:t>
      </w:r>
      <m:oMath>
        <m:r>
          <m:t>F</m:t>
        </m:r>
      </m:oMath>
      <w:r>
        <w:t xml:space="preserve">(1.84,38.62) =</w:t>
      </w:r>
      <w:r>
        <w:t xml:space="preserve"> </w:t>
      </w:r>
      <w:r>
        <w:t xml:space="preserve">15.427,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0.424,</w:t>
      </w:r>
      <w:r>
        <w:t xml:space="preserve"> </w:t>
      </w:r>
      <m:oMath>
        <m:r>
          <m:t>B</m:t>
        </m:r>
        <m:sSub>
          <m:e>
            <m:r>
              <m:t>F</m:t>
            </m:r>
          </m:e>
          <m:sub>
            <m:r>
              <m:t>10</m:t>
            </m:r>
          </m:sub>
        </m:sSub>
      </m:oMath>
      <w:r>
        <w:t xml:space="preserve"> </w:t>
      </w:r>
      <w:r>
        <w:t xml:space="preserve">= 1.4828676</w:t>
      </w:r>
      <w:r>
        <w:t xml:space="preserve">^{5}).</w:t>
      </w:r>
      <w:r>
        <w:t xml:space="preserve"> </w:t>
      </w:r>
      <w:r>
        <w:t xml:space="preserve">Post analysis showed that the number of trials for 1-alt cases was significantly larger than for 0- and &gt;1-alt cases</w:t>
      </w:r>
      <w:r>
        <w:t xml:space="preserve"> </w:t>
      </w:r>
      <w:r>
        <w:t xml:space="preserve">(</w:t>
      </w:r>
      <m:oMath>
        <m:r>
          <m:t>t</m:t>
        </m:r>
      </m:oMath>
      <w:r>
        <w:t xml:space="preserve">(21) = 2.703,</w:t>
      </w:r>
      <w:r>
        <w:t xml:space="preserve"> </w:t>
      </w:r>
      <m:oMath>
        <m:r>
          <m:t>p</m:t>
        </m:r>
      </m:oMath>
      <w:r>
        <w:t xml:space="preserve"> </w:t>
      </w:r>
      <w:r>
        <w:t xml:space="preserve">= 0.013,</w:t>
      </w:r>
      <w:r>
        <w:t xml:space="preserve"> </w:t>
      </w:r>
      <w:r>
        <w:t xml:space="preserve">Cohen’s</w:t>
      </w:r>
      <w:r>
        <w:t xml:space="preserve"> </w:t>
      </w:r>
      <m:oMath>
        <m:sSub>
          <m:e>
            <m:r>
              <m:t>d</m:t>
            </m:r>
          </m:e>
          <m:sub>
            <m:r>
              <m:t>z</m:t>
            </m:r>
          </m:sub>
        </m:sSub>
      </m:oMath>
      <w:r>
        <w:t xml:space="preserve"> </w:t>
      </w:r>
      <w:r>
        <w:t xml:space="preserve">= 0.557,</w:t>
      </w:r>
      <w:r>
        <w:t xml:space="preserve"> </w:t>
      </w:r>
      <m:oMath>
        <m:r>
          <m:t>B</m:t>
        </m:r>
        <m:sSub>
          <m:e>
            <m:r>
              <m:t>F</m:t>
            </m:r>
          </m:e>
          <m:sub>
            <m:r>
              <m:t>10</m:t>
            </m:r>
          </m:sub>
        </m:sSub>
      </m:oMath>
      <w:r>
        <w:t xml:space="preserve"> </w:t>
      </w:r>
      <w:r>
        <w:t xml:space="preserve">= 3.331;</w:t>
      </w:r>
      <w:r>
        <w:t xml:space="preserve"> </w:t>
      </w:r>
      <m:oMath>
        <m:r>
          <m:t>t</m:t>
        </m:r>
      </m:oMath>
      <w:r>
        <w:t xml:space="preserve">(21) = 6.143,</w:t>
      </w:r>
      <w:r>
        <w:t xml:space="preserve"> </w:t>
      </w:r>
      <m:oMath>
        <m:r>
          <m:t>p</m:t>
        </m:r>
      </m:oMath>
      <w:r>
        <w:t xml:space="preserve"> </w:t>
      </w:r>
      <w:r>
        <w:t xml:space="preserve">= 0,</w:t>
      </w:r>
      <w:r>
        <w:t xml:space="preserve"> </w:t>
      </w:r>
      <w:r>
        <w:t xml:space="preserve">Cohen’s</w:t>
      </w:r>
      <w:r>
        <w:t xml:space="preserve"> </w:t>
      </w:r>
      <m:oMath>
        <m:sSub>
          <m:e>
            <m:r>
              <m:t>d</m:t>
            </m:r>
          </m:e>
          <m:sub>
            <m:r>
              <m:t>z</m:t>
            </m:r>
          </m:sub>
        </m:sSub>
      </m:oMath>
      <w:r>
        <w:t xml:space="preserve"> </w:t>
      </w:r>
      <w:r>
        <w:t xml:space="preserve">= 0.576,</w:t>
      </w:r>
      <w:r>
        <w:t xml:space="preserve"> </w:t>
      </w:r>
      <m:oMath>
        <m:r>
          <m:t>B</m:t>
        </m:r>
        <m:sSub>
          <m:e>
            <m:r>
              <m:t>F</m:t>
            </m:r>
          </m:e>
          <m:sub>
            <m:r>
              <m:t>10</m:t>
            </m:r>
          </m:sub>
        </m:sSub>
      </m:oMath>
      <w:r>
        <w:t xml:space="preserve"> </w:t>
      </w:r>
      <w:r>
        <w:t xml:space="preserve">= 3.921)</w:t>
      </w:r>
      <w:r>
        <w:t xml:space="preserve"> </w:t>
      </w:r>
      <w:r>
        <w:t xml:space="preserve">at alpha level of 0.05/3 corrected by a Bonferroni-Holm method.</w:t>
      </w:r>
      <w:r>
        <w:t xml:space="preserve"> </w:t>
      </w:r>
      <w:r>
        <w:t xml:space="preserve">RTs of each response category were</w:t>
      </w:r>
      <w:r>
        <w:t xml:space="preserve"> </w:t>
      </w:r>
      <w:r>
        <w:t xml:space="preserve">1.24</w:t>
      </w:r>
      <w:r>
        <w:t xml:space="preserve"> </w:t>
      </w:r>
      <m:oMath>
        <m:r>
          <m:rPr>
            <m:sty m:val="p"/>
          </m:rPr>
          <m:t>±</m:t>
        </m:r>
      </m:oMath>
      <w:r>
        <w:t xml:space="preserve"> </w:t>
      </w:r>
      <w:r>
        <w:t xml:space="preserve">0.501 sec,</w:t>
      </w:r>
      <w:r>
        <w:t xml:space="preserve"> </w:t>
      </w:r>
      <w:r>
        <w:t xml:space="preserve">1.129</w:t>
      </w:r>
      <w:r>
        <w:t xml:space="preserve"> </w:t>
      </w:r>
      <m:oMath>
        <m:r>
          <m:rPr>
            <m:sty m:val="p"/>
          </m:rPr>
          <m:t>±</m:t>
        </m:r>
      </m:oMath>
      <w:r>
        <w:t xml:space="preserve"> </w:t>
      </w:r>
      <w:r>
        <w:t xml:space="preserve">0.401 sec, and</w:t>
      </w:r>
      <w:r>
        <w:t xml:space="preserve"> </w:t>
      </w:r>
      <w:r>
        <w:t xml:space="preserve">1.209</w:t>
      </w:r>
      <w:r>
        <w:t xml:space="preserve"> </w:t>
      </w:r>
      <m:oMath>
        <m:r>
          <m:rPr>
            <m:sty m:val="p"/>
          </m:rPr>
          <m:t>±</m:t>
        </m:r>
      </m:oMath>
      <w:r>
        <w:t xml:space="preserve"> </w:t>
      </w:r>
      <w:r>
        <w:t xml:space="preserve">0.864 sec</w:t>
      </w:r>
      <w:r>
        <w:t xml:space="preserve"> </w:t>
      </w:r>
      <w:r>
        <w:t xml:space="preserve">(</w:t>
      </w:r>
      <m:oMath>
        <m:r>
          <m:t>F</m:t>
        </m:r>
      </m:oMath>
      <w:r>
        <w:t xml:space="preserve">(1.24,26.09) = 0.307,</w:t>
      </w:r>
      <w:r>
        <w:t xml:space="preserve"> </w:t>
      </w:r>
      <m:oMath>
        <m:r>
          <m:t>p</m:t>
        </m:r>
      </m:oMath>
      <w:r>
        <w:t xml:space="preserve"> </w:t>
      </w:r>
      <w:r>
        <w:t xml:space="preserve">= 0.633,</w:t>
      </w:r>
      <w:r>
        <w:t xml:space="preserve"> </w:t>
      </w:r>
      <m:oMath>
        <m:sSubSup>
          <m:e>
            <m:r>
              <m:t>η</m:t>
            </m:r>
          </m:e>
          <m:sub>
            <m:r>
              <m:t>p</m:t>
            </m:r>
          </m:sub>
          <m:sup>
            <m:r>
              <m:t>2</m:t>
            </m:r>
          </m:sup>
        </m:sSubSup>
      </m:oMath>
      <w:r>
        <w:t xml:space="preserve"> </w:t>
      </w:r>
      <w:r>
        <w:t xml:space="preserve">= 0.014,</w:t>
      </w:r>
      <w:r>
        <w:t xml:space="preserve"> </w:t>
      </w:r>
      <m:oMath>
        <m:r>
          <m:t>B</m:t>
        </m:r>
        <m:sSub>
          <m:e>
            <m:r>
              <m:t>F</m:t>
            </m:r>
          </m:e>
          <m:sub>
            <m:r>
              <m:t>10</m:t>
            </m:r>
          </m:sub>
        </m:sSub>
      </m:oMath>
      <w:r>
        <w:t xml:space="preserve"> </w:t>
      </w:r>
      <w:r>
        <w:t xml:space="preserve">= 0.16).</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(1.55,32.58) = 1.213,</w:t>
      </w:r>
      <w:r>
        <w:t xml:space="preserve"> </w:t>
      </w:r>
      <m:oMath>
        <m:r>
          <m:t>p</m:t>
        </m:r>
      </m:oMath>
      <w:r>
        <w:t xml:space="preserve"> </w:t>
      </w:r>
      <w:r>
        <w:t xml:space="preserve">= 0.301,</w:t>
      </w:r>
      <w:r>
        <w:t xml:space="preserve"> </w:t>
      </w:r>
      <m:oMath>
        <m:sSubSup>
          <m:e>
            <m:r>
              <m:t>η</m:t>
            </m:r>
          </m:e>
          <m:sub>
            <m:r>
              <m:t>p</m:t>
            </m:r>
          </m:sub>
          <m:sup>
            <m:r>
              <m:t>2</m:t>
            </m:r>
          </m:sup>
        </m:sSubSup>
      </m:oMath>
      <w:r>
        <w:t xml:space="preserve"> </w:t>
      </w:r>
      <w:r>
        <w:t xml:space="preserve">= 0.055,</w:t>
      </w:r>
      <w:r>
        <w:t xml:space="preserve"> </w:t>
      </w:r>
      <m:oMath>
        <m:r>
          <m:t>B</m:t>
        </m:r>
        <m:sSub>
          <m:e>
            <m:r>
              <m:t>F</m:t>
            </m:r>
          </m:e>
          <m:sub>
            <m:r>
              <m:t>10</m:t>
            </m:r>
          </m:sub>
        </m:sSub>
      </m:oMath>
      <w:r>
        <w:t xml:space="preserve"> </w:t>
      </w:r>
      <w:r>
        <w:t xml:space="preserve">= 0.311).</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(1.52,31.91) = 11.424,</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0.352,</w:t>
      </w:r>
      <w:r>
        <w:t xml:space="preserve"> </w:t>
      </w:r>
      <m:oMath>
        <m:r>
          <m:t>B</m:t>
        </m:r>
        <m:sSub>
          <m:e>
            <m:r>
              <m:t>F</m:t>
            </m:r>
          </m:e>
          <m:sub>
            <m:r>
              <m:t>10</m:t>
            </m:r>
          </m:sub>
        </m:sSub>
      </m:oMath>
      <w:r>
        <w:t xml:space="preserve"> </w:t>
      </w:r>
      <w:r>
        <w:t xml:space="preserve">= 1279.799).</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(21) = 3.954,</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0.78,</w:t>
      </w:r>
      <w:r>
        <w:t xml:space="preserve"> </w:t>
      </w:r>
      <m:oMath>
        <m:r>
          <m:t>B</m:t>
        </m:r>
        <m:sSub>
          <m:e>
            <m:r>
              <m:t>F</m:t>
            </m:r>
          </m:e>
          <m:sub>
            <m:r>
              <m:t>10</m:t>
            </m:r>
          </m:sub>
        </m:sSub>
      </m:oMath>
      <w:r>
        <w:t xml:space="preserve"> </w:t>
      </w:r>
      <w:r>
        <w:t xml:space="preserve">= 25.712;</w:t>
      </w:r>
      <w:r>
        <w:t xml:space="preserve"> </w:t>
      </w:r>
      <m:oMath>
        <m:r>
          <m:t>t</m:t>
        </m:r>
      </m:oMath>
      <w:r>
        <w:t xml:space="preserve">(21) = 3.66,</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0.843,</w:t>
      </w:r>
      <w:r>
        <w:t xml:space="preserve"> </w:t>
      </w:r>
      <m:oMath>
        <m:r>
          <m:t>B</m:t>
        </m:r>
        <m:sSub>
          <m:e>
            <m:r>
              <m:t>F</m:t>
            </m:r>
          </m:e>
          <m:sub>
            <m:r>
              <m:t>10</m:t>
            </m:r>
          </m:sub>
        </m:sSub>
      </m:oMath>
      <w:r>
        <w:t xml:space="preserve"> </w:t>
      </w:r>
      <w:r>
        <w:t xml:space="preserve">= 47.379,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5.1447,</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w:t>
      </w:r>
      <w:r>
        <w:t xml:space="preserve"> </w:t>
      </w:r>
      <m:oMath>
        <m:r>
          <m:rPr>
            <m:sty m:val="p"/>
          </m:rPr>
          <m:t>±</m:t>
        </m:r>
      </m:oMath>
      <w:r>
        <w:t xml:space="preserve"> </w:t>
      </w:r>
      <w:r>
        <w:t xml:space="preserve">13.66 and</w:t>
      </w:r>
      <w:r>
        <w:t xml:space="preserve"> </w:t>
      </w:r>
      <w:r>
        <w:t xml:space="preserve">44.89</w:t>
      </w:r>
      <w:r>
        <w:t xml:space="preserve"> </w:t>
      </w:r>
      <m:oMath>
        <m:r>
          <m:rPr>
            <m:sty m:val="p"/>
          </m:rPr>
          <m:t>±</m:t>
        </m:r>
      </m:oMath>
      <w:r>
        <w:t xml:space="preserve"> </w:t>
      </w:r>
      <w:r>
        <w:t xml:space="preserve">15.3, respectively</w:t>
      </w:r>
      <w:r>
        <w:t xml:space="preserve"> </w:t>
      </w:r>
      <w:r>
        <w:t xml:space="preserve">(</w:t>
      </w:r>
      <m:oMath>
        <m:r>
          <m:t>t</m:t>
        </m:r>
      </m:oMath>
      <w:r>
        <w:t xml:space="preserve">(1,18) = -1.448,</w:t>
      </w:r>
      <w:r>
        <w:t xml:space="preserve"> </w:t>
      </w:r>
      <m:oMath>
        <m:r>
          <m:t>p</m:t>
        </m:r>
      </m:oMath>
      <w:r>
        <w:t xml:space="preserve"> </w:t>
      </w:r>
      <w:r>
        <w:t xml:space="preserve">= 0.165, Cohen’s</w:t>
      </w:r>
      <w:r>
        <w:t xml:space="preserve"> </w:t>
      </w:r>
      <m:oMath>
        <m:sSub>
          <m:e>
            <m:r>
              <m:t>d</m:t>
            </m:r>
          </m:e>
          <m:sub>
            <m:r>
              <m:t>z</m:t>
            </m:r>
          </m:sub>
        </m:sSub>
      </m:oMath>
      <w:r>
        <w:t xml:space="preserve"> </w:t>
      </w:r>
      <w:r>
        <w:t xml:space="preserve">= 0.332).</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(1,18) = -0.157,</w:t>
      </w:r>
      <w:r>
        <w:t xml:space="preserve"> </w:t>
      </w:r>
      <m:oMath>
        <m:r>
          <m:t>p</m:t>
        </m:r>
      </m:oMath>
      <w:r>
        <w:t xml:space="preserve"> </w:t>
      </w:r>
      <w:r>
        <w:t xml:space="preserve">= 0.877, Cohen’s</w:t>
      </w:r>
      <w:r>
        <w:t xml:space="preserve"> </w:t>
      </w:r>
      <m:oMath>
        <m:sSub>
          <m:e>
            <m:r>
              <m:t>d</m:t>
            </m:r>
          </m:e>
          <m:sub>
            <m:r>
              <m:t>z</m:t>
            </m:r>
          </m:sub>
        </m:sSub>
      </m:oMath>
      <w:r>
        <w:t xml:space="preserve"> </w:t>
      </w:r>
      <w:r>
        <w:t xml:space="preserve">= 0.036).</w:t>
      </w:r>
    </w:p>
    <w:p>
      <w:pPr>
        <w:pStyle w:val="BodyText"/>
      </w:pPr>
      <w:r>
        <w:t xml:space="preserve">RT in the answer</w:t>
      </w:r>
      <w:r>
        <w:t xml:space="preserve"> </w:t>
      </w:r>
      <w:r>
        <w:t xml:space="preserve">‘</w:t>
      </w:r>
      <w:r>
        <w:t xml:space="preserve">yes</w:t>
      </w:r>
      <w:r>
        <w:t xml:space="preserve">’</w:t>
      </w:r>
      <w:r>
        <w:t xml:space="preserve"> </w:t>
      </w:r>
      <w:r>
        <w:t xml:space="preserve">(1.236</w:t>
      </w:r>
      <w:r>
        <w:t xml:space="preserve"> </w:t>
      </w:r>
      <m:oMath>
        <m:r>
          <m:rPr>
            <m:sty m:val="p"/>
          </m:rPr>
          <m:t>±</m:t>
        </m:r>
      </m:oMath>
      <w:r>
        <w:t xml:space="preserve"> </w:t>
      </w:r>
      <w:r>
        <w:t xml:space="preserve">0.44 s) was significantly faster than</w:t>
      </w:r>
      <w:r>
        <w:t xml:space="preserve"> </w:t>
      </w:r>
      <w:r>
        <w:t xml:space="preserve">‘</w:t>
      </w:r>
      <w:r>
        <w:t xml:space="preserve">no</w:t>
      </w:r>
      <w:r>
        <w:t xml:space="preserve">’</w:t>
      </w:r>
      <w:r>
        <w:t xml:space="preserve"> </w:t>
      </w:r>
      <w:r>
        <w:t xml:space="preserve">(1.236</w:t>
      </w:r>
      <w:r>
        <w:t xml:space="preserve"> </w:t>
      </w:r>
      <m:oMath>
        <m:r>
          <m:rPr>
            <m:sty m:val="p"/>
          </m:rPr>
          <m:t>±</m:t>
        </m:r>
      </m:oMath>
      <w:r>
        <w:t xml:space="preserve"> </w:t>
      </w:r>
      <w:r>
        <w:t xml:space="preserve">0.44 s)</w:t>
      </w:r>
      <w:r>
        <w:br/>
      </w:r>
      <w:r>
        <w:t xml:space="preserve">(</w:t>
      </w:r>
      <m:oMath>
        <m:r>
          <m:t>t</m:t>
        </m:r>
      </m:oMath>
      <w:r>
        <w:t xml:space="preserve">(1,18) = 5.724,</w:t>
      </w:r>
      <w:r>
        <w:t xml:space="preserve"> </w:t>
      </w:r>
      <m:oMath>
        <m:r>
          <m:t>p</m:t>
        </m:r>
      </m:oMath>
      <w:r>
        <w:t xml:space="preserve"> </w:t>
      </w:r>
      <w:r>
        <w:t xml:space="preserve">= 0, Cohen’s</w:t>
      </w:r>
      <w:r>
        <w:t xml:space="preserve"> </w:t>
      </w:r>
      <m:oMath>
        <m:sSub>
          <m:e>
            <m:r>
              <m:t>d</m:t>
            </m:r>
          </m:e>
          <m:sub>
            <m:r>
              <m:t>z</m:t>
            </m:r>
          </m:sub>
        </m:sSub>
      </m:oMath>
      <w:r>
        <w:t xml:space="preserve"> </w:t>
      </w:r>
      <w:r>
        <w:t xml:space="preserve">= 1.313).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w:t>
      </w:r>
      <w:r>
        <w:t xml:space="preserve"> </w:t>
      </w:r>
      <w:r>
        <w:t xml:space="preserve">(</w:t>
      </w:r>
      <m:oMath>
        <m:r>
          <m:t>t</m:t>
        </m:r>
      </m:oMath>
      <w:r>
        <w:t xml:space="preserve">(18) = -2.508,</w:t>
      </w:r>
      <w:r>
        <w:t xml:space="preserve"> </w:t>
      </w:r>
      <m:oMath>
        <m:r>
          <m:t>p</m:t>
        </m:r>
      </m:oMath>
      <w:r>
        <w:t xml:space="preserve"> </w:t>
      </w:r>
      <w:r>
        <w:t xml:space="preserve">= 0.022, Cohen’s</w:t>
      </w:r>
      <w:r>
        <w:t xml:space="preserve"> </w:t>
      </w:r>
      <m:oMath>
        <m:sSub>
          <m:e>
            <m:r>
              <m:t>d</m:t>
            </m:r>
          </m:e>
          <m:sub>
            <m:r>
              <m:t>z</m:t>
            </m:r>
          </m:sub>
        </m:sSub>
      </m:oMath>
      <w:r>
        <w:t xml:space="preserve"> </w:t>
      </w:r>
      <w:r>
        <w:t xml:space="preserve">= 0.575,</w:t>
      </w:r>
      <w:r>
        <w:t xml:space="preserve"> </w:t>
      </w:r>
      <m:oMath>
        <m:r>
          <m:t>B</m:t>
        </m:r>
        <m:sSub>
          <m:e>
            <m:r>
              <m:t>F</m:t>
            </m:r>
          </m:e>
          <m:sub>
            <m:r>
              <m:t>10</m:t>
            </m:r>
          </m:sub>
        </m:sSub>
      </m:oMath>
      <w:r>
        <w:t xml:space="preserve"> </w:t>
      </w:r>
      <w:r>
        <w:t xml:space="preserve">= 2.73).</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w:t>
      </w:r>
      <w:r>
        <w:t xml:space="preserve"> </w:t>
      </w:r>
      <w:r>
        <w:t xml:space="preserve">(</w:t>
      </w:r>
      <m:oMath>
        <m:r>
          <m:t>y</m:t>
        </m:r>
      </m:oMath>
      <w:r>
        <w:t xml:space="preserve"> </w:t>
      </w:r>
      <w:r>
        <w:t xml:space="preserve">= 0.04</w:t>
      </w:r>
      <m:oMath>
        <m:r>
          <m:t>x</m:t>
        </m:r>
      </m:oMath>
      <w:r>
        <w:t xml:space="preserve"> </w:t>
      </w:r>
      <w:r>
        <w:t xml:space="preserve">+ -0.12,</w:t>
      </w:r>
      <w:r>
        <w:t xml:space="preserve"> </w:t>
      </w:r>
      <m:oMath>
        <m:r>
          <m:t>R</m:t>
        </m:r>
      </m:oMath>
      <w:r>
        <w:t xml:space="preserve"> </w:t>
      </w:r>
      <w:r>
        <w:t xml:space="preserve">= 0.228,</w:t>
      </w:r>
      <w:r>
        <w:t xml:space="preserve"> </w:t>
      </w:r>
      <m:oMath>
        <m:r>
          <m:t>t</m:t>
        </m:r>
      </m:oMath>
      <w:r>
        <w:t xml:space="preserve"> </w:t>
      </w:r>
      <w:r>
        <w:t xml:space="preserve">= 2.4301,</w:t>
      </w:r>
      <w:r>
        <w:t xml:space="preserve"> </w:t>
      </w:r>
      <m:oMath>
        <m:r>
          <m:t>p</m:t>
        </m:r>
      </m:oMath>
      <w:r>
        <w:t xml:space="preserve"> </w:t>
      </w:r>
      <w:r>
        <w:t xml:space="preserve">= 0.0167).</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5.973,</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0.249,</w:t>
      </w:r>
      <w:r>
        <w:t xml:space="preserve"> </w:t>
      </w:r>
      <m:oMath>
        <m:r>
          <m:t>B</m:t>
        </m:r>
        <m:sSub>
          <m:e>
            <m:r>
              <m:t>F</m:t>
            </m:r>
          </m:e>
          <m:sub>
            <m:r>
              <m:t>10</m:t>
            </m:r>
          </m:sub>
        </m:sSub>
      </m:oMath>
      <w:r>
        <w:t xml:space="preserve"> </w:t>
      </w:r>
      <w:r>
        <w:t xml:space="preserve">= 2.217),</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7.77,</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0.302,</w:t>
      </w:r>
      <w:r>
        <w:t xml:space="preserve"> </w:t>
      </w:r>
      <m:oMath>
        <m:r>
          <m:t>B</m:t>
        </m:r>
        <m:sSub>
          <m:e>
            <m:r>
              <m:t>F</m:t>
            </m:r>
          </m:e>
          <m:sub>
            <m:r>
              <m:t>10</m:t>
            </m:r>
          </m:sub>
        </m:sSub>
      </m:oMath>
      <w:r>
        <w:t xml:space="preserve"> </w:t>
      </w:r>
      <w:r>
        <w:t xml:space="preserve">= 17.778),</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0.226,</w:t>
      </w:r>
      <w:r>
        <w:t xml:space="preserve"> </w:t>
      </w:r>
      <m:oMath>
        <m:r>
          <m:t>p</m:t>
        </m:r>
      </m:oMath>
      <w:r>
        <w:t xml:space="preserve"> </w:t>
      </w:r>
      <w:r>
        <w:t xml:space="preserve">= 0.64,</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0.351).</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1.183,</w:t>
      </w:r>
      <w:r>
        <w:t xml:space="preserve"> </w:t>
      </w:r>
      <m:oMath>
        <m:r>
          <m:t>p</m:t>
        </m:r>
      </m:oMath>
      <w:r>
        <w:t xml:space="preserve"> </w:t>
      </w:r>
      <w:r>
        <w:t xml:space="preserve">= 0.291,</w:t>
      </w:r>
      <w:r>
        <w:t xml:space="preserve"> </w:t>
      </w:r>
      <m:oMath>
        <m:sSubSup>
          <m:e>
            <m:r>
              <m:t>η</m:t>
            </m:r>
          </m:e>
          <m:sub>
            <m:r>
              <m:t>p</m:t>
            </m:r>
          </m:sub>
          <m:sup>
            <m:r>
              <m:t>2</m:t>
            </m:r>
          </m:sup>
        </m:sSubSup>
      </m:oMath>
      <w:r>
        <w:t xml:space="preserve"> </w:t>
      </w:r>
      <w:r>
        <w:t xml:space="preserve">= 0.062,</w:t>
      </w:r>
      <w:r>
        <w:t xml:space="preserve"> </w:t>
      </w:r>
      <m:oMath>
        <m:r>
          <m:t>B</m:t>
        </m:r>
        <m:sSub>
          <m:e>
            <m:r>
              <m:t>F</m:t>
            </m:r>
          </m:e>
          <m:sub>
            <m:r>
              <m:t>10</m:t>
            </m:r>
          </m:sub>
        </m:sSub>
      </m:oMath>
      <w:r>
        <w:t xml:space="preserve"> </w:t>
      </w:r>
      <w:r>
        <w:t xml:space="preserve">= 0.4);</w:t>
      </w:r>
      <w:r>
        <w:t xml:space="preserve"> </w:t>
      </w:r>
      <m:oMath>
        <m:r>
          <m:t>F</m:t>
        </m:r>
      </m:oMath>
      <w:r>
        <w:t xml:space="preserve">(1,18) = 2.372,</w:t>
      </w:r>
      <w:r>
        <w:t xml:space="preserve"> </w:t>
      </w:r>
      <m:oMath>
        <m:r>
          <m:t>p</m:t>
        </m:r>
      </m:oMath>
      <w:r>
        <w:t xml:space="preserve"> </w:t>
      </w:r>
      <w:r>
        <w:t xml:space="preserve">= 0.141,</w:t>
      </w:r>
      <w:r>
        <w:t xml:space="preserve"> </w:t>
      </w:r>
      <m:oMath>
        <m:sSubSup>
          <m:e>
            <m:r>
              <m:t>η</m:t>
            </m:r>
          </m:e>
          <m:sub>
            <m:r>
              <m:t>p</m:t>
            </m:r>
          </m:sub>
          <m:sup>
            <m:r>
              <m:t>2</m:t>
            </m:r>
          </m:sup>
        </m:sSubSup>
      </m:oMath>
      <w:r>
        <w:t xml:space="preserve"> </w:t>
      </w:r>
      <w:r>
        <w:t xml:space="preserve">= 0.116,</w:t>
      </w:r>
      <w:r>
        <w:t xml:space="preserve"> </w:t>
      </w:r>
      <m:oMath>
        <m:r>
          <m:t>B</m:t>
        </m:r>
        <m:sSub>
          <m:e>
            <m:r>
              <m:t>F</m:t>
            </m:r>
          </m:e>
          <m:sub>
            <m:r>
              <m:t>10</m:t>
            </m:r>
          </m:sub>
        </m:sSub>
      </m:oMath>
      <w:r>
        <w:t xml:space="preserve"> </w:t>
      </w:r>
      <w:r>
        <w:t xml:space="preserve">= 0.861;</w:t>
      </w:r>
      <w:r>
        <w:t xml:space="preserve"> </w:t>
      </w:r>
      <m:oMath>
        <m:r>
          <m:t>F</m:t>
        </m:r>
      </m:oMath>
      <w:r>
        <w:t xml:space="preserve">(1,18) = 0.004,</w:t>
      </w:r>
      <w:r>
        <w:t xml:space="preserve"> </w:t>
      </w:r>
      <m:oMath>
        <m:r>
          <m:t>p</m:t>
        </m:r>
      </m:oMath>
      <w:r>
        <w:t xml:space="preserve"> </w:t>
      </w:r>
      <w:r>
        <w:t xml:space="preserve">= 0.948,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0.291,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w:t>
      </w:r>
      <w:r>
        <w:t xml:space="preserve"> </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w:t>
      </w:r>
      <w:r>
        <w:t xml:space="preserve"> </w:t>
      </w:r>
      <w:r>
        <w:t xml:space="preserve">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r>
        <w:t xml:space="preserve"> </w:t>
      </w:r>
      <w:r>
        <w:t xml:space="preserve"> </w:t>
      </w:r>
      <w:r>
        <w:t xml:space="preserve"> </w:t>
      </w: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2022-01-04T06:03:35Z</dcterms:created>
  <dcterms:modified xsi:type="dcterms:W3CDTF">2022-01-04T06:03:35Z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January, 2022</vt:lpwstr>
  </property>
  <property fmtid="{D5CDD505-2E9C-101B-9397-08002B2CF9AE}" pid="3" name="draft">
    <vt:lpwstr>yes</vt:lpwstr>
  </property>
  <property fmtid="{D5CDD505-2E9C-101B-9397-08002B2CF9AE}" pid="4" name="output">
    <vt:lpwstr/>
  </property>
</Properties>
</file>