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figures’ note for auditory attentional blink</w:t>
      </w:r>
    </w:p>
    <w:p>
      <w:pPr>
        <w:pStyle w:val="Author"/>
      </w:pPr>
      <w:r>
        <w:t xml:space="preserve">Yuta Suzuki, Hsin-I Liao</w:t>
      </w:r>
    </w:p>
    <w:p>
      <w:pPr>
        <w:pStyle w:val="Date"/>
      </w:pPr>
      <w:r>
        <w:t xml:space="preserve">14 May, 2026</w:t>
      </w:r>
    </w:p>
    <w:bookmarkStart w:id="10" w:name="article-information"/>
    <w:p>
      <w:pPr>
        <w:pStyle w:val="Heading2"/>
      </w:pPr>
      <w:r>
        <w:t xml:space="preserve">Article information</w:t>
      </w:r>
    </w:p>
    <w:p>
      <w:pPr>
        <w:pStyle w:val="FirstParagraph"/>
      </w:pPr>
      <w:r>
        <w:t xml:space="preserve">*Corresponding author: Yuta Suzuki</w:t>
      </w:r>
      <w:r>
        <w:t xml:space="preserve"> </w:t>
      </w:r>
      <w:r>
        <w:t xml:space="preserve">NTT Communication Science Laboratories, NTT Corporation, Atsugi, Japan</w:t>
      </w:r>
      <w:r>
        <w:t xml:space="preserve"> </w:t>
      </w:r>
      <w:r>
        <w:t xml:space="preserve">Tel: +81-046-240-3525,</w:t>
      </w:r>
      <w:r>
        <w:t xml:space="preserve"> </w:t>
      </w:r>
      <w:r>
        <w:t xml:space="preserve">E-mail:</w:t>
      </w:r>
      <w:hyperlink r:id="rId9">
        <w:r>
          <w:rPr>
            <w:rStyle w:val="Hyperlink"/>
          </w:rPr>
          <w:t xml:space="preserve">suzukiy970@gmail.com</w:t>
        </w:r>
      </w:hyperlink>
    </w:p>
    <w:p>
      <w:r>
        <w:br w:type="page"/>
      </w:r>
    </w:p>
    <w:p>
      <w:pPr>
        <w:pStyle w:val="BodyText"/>
      </w:pPr>
      <w:r>
        <w:t xml:space="preserve">n contrast to the pupil dilation phase (PD phase), we did not observe a clear tendency in the difference between bin-wise accuracy and overall accuracy (collapsed across lag), as shown in Supplementary Figure 1. However, in both the T1-ignore and T1-attend conditions, a significant or marginally significant decrease in accuracy was observed during the 4–5 s interval</w:t>
      </w:r>
      <w:r>
        <w:t xml:space="preserve"> </w:t>
      </w:r>
      <w:r>
        <w:t xml:space="preserve">(</w:t>
      </w:r>
      <m:oMath>
        <m:r>
          <m:t>t</m:t>
        </m:r>
      </m:oMath>
      <w:r>
        <w:t xml:space="preserve">(17) = -1.767,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0.095,</w:t>
      </w:r>
      <w: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= -0.589,</w:t>
      </w:r>
      <w: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= 0.883for T1-ignore;</w:t>
      </w:r>
      <w:r>
        <w:t xml:space="preserve"> </w:t>
      </w:r>
      <m:oMath>
        <m:r>
          <m:t>t</m:t>
        </m:r>
      </m:oMath>
      <w:r>
        <w:t xml:space="preserve">(17) = -2.944,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0.009,</w:t>
      </w:r>
      <w: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= -0.981,</w:t>
      </w:r>
      <w: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= 5.735 for T1-attend).</w:t>
      </w:r>
    </w:p>
    <w:p>
      <w:pPr>
        <w:pStyle w:val="BodyText"/>
      </w:pPr>
      <w:r>
        <w:t xml:space="preserve">Detection accuracy for T1 and T2 sequence remained high</w:t>
      </w:r>
      <w:r>
        <w:t xml:space="preserve"> </w:t>
      </w:r>
      <w:r>
        <w:t xml:space="preserve">(T1: M=0.947, SD=0.097,</w:t>
      </w:r>
      <w:r>
        <w:t xml:space="preserve"> </w:t>
      </w:r>
      <w:r>
        <w:t xml:space="preserve">Probe: M=0.818, SD=0.238) as shown in Supplementary Figure 2).</w:t>
      </w:r>
      <w:r>
        <w:t xml:space="preserve"> </w:t>
      </w:r>
      <w:r>
        <w:t xml:space="preserve">We confirmed that there were no differences between the PD and PC phases in T1 detection accuracy for either the T1T2 or T1-only sequences, as shown in Supplementary Figure 2A</w:t>
      </w:r>
      <w:r>
        <w:t xml:space="preserve"> </w:t>
      </w:r>
      <w:r>
        <w:t xml:space="preserve">(</w:t>
      </w:r>
      <m:oMath>
        <m:r>
          <m:t>t</m:t>
        </m:r>
      </m:oMath>
      <w:r>
        <w:t xml:space="preserve">(25) = 0.795,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0.434,</w:t>
      </w:r>
      <w: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= 0.172,</w:t>
      </w:r>
      <w: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= 0.276;</w:t>
      </w:r>
      <w:r>
        <w:t xml:space="preserve"> </w:t>
      </w:r>
      <m:oMath>
        <m:r>
          <m:t>t</m:t>
        </m:r>
      </m:oMath>
      <w:r>
        <w:t xml:space="preserve">(25) = 1.316,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0.2,</w:t>
      </w:r>
      <w: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= 0.306,</w:t>
      </w:r>
      <w: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= 0.448).</w:t>
      </w:r>
      <w:r>
        <w:t xml:space="preserve"> </w:t>
      </w:r>
      <w:r>
        <w:t xml:space="preserve">For T2 detection accuracy, consistent with Figure 4A, there was a significant difference between the PD and PC phases</w:t>
      </w:r>
      <w:r>
        <w:t xml:space="preserve"> </w:t>
      </w:r>
      <w:r>
        <w:t xml:space="preserve">(</w:t>
      </w:r>
      <m:oMath>
        <m:r>
          <m:t>t</m:t>
        </m:r>
      </m:oMath>
      <w:r>
        <w:t xml:space="preserve">(25) = 4.987,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&lt; 0.001,</w:t>
      </w:r>
      <w: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= 1.234,</w:t>
      </w:r>
      <w: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&gt; 100)</w:t>
      </w:r>
      <w:r>
        <w:t xml:space="preserve"> </w:t>
      </w:r>
      <w:r>
        <w:t xml:space="preserve">, whereas no such difference was observed for the T2-only sequence</w:t>
      </w:r>
      <w:r>
        <w:t xml:space="preserve"> </w:t>
      </w:r>
      <w:r>
        <w:t xml:space="preserve">(</w:t>
      </w:r>
      <m:oMath>
        <m:r>
          <m:t>t</m:t>
        </m:r>
      </m:oMath>
      <w:r>
        <w:t xml:space="preserve">(25) = -0.642,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0.527,</w:t>
      </w:r>
      <w: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= -0.159,</w:t>
      </w:r>
      <w: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= 0.25).</w:t>
      </w:r>
    </w:p>
    <w:bookmarkEnd w:id="10"/>
    <w:sectPr w:rsidR="00286BCE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04C8A8BA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68F6327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8EC6B48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93B4E97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554A887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BF833CC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83E9BDE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2212576C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50F2B626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4E741AF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2C1AE401"/>
    <w:multiLevelType w:val="multilevel"/>
    <w:tmpl w:val="6770AD4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45388194" w:numId="1">
    <w:abstractNumId w:val="10"/>
  </w:num>
  <w:num w16cid:durableId="172233062" w:numId="2">
    <w:abstractNumId w:val="10"/>
  </w:num>
  <w:num w16cid:durableId="533079778" w:numId="3">
    <w:abstractNumId w:val="10"/>
  </w:num>
  <w:num w16cid:durableId="189072564" w:numId="4">
    <w:abstractNumId w:val="0"/>
  </w:num>
  <w:num w16cid:durableId="1775586870" w:numId="5">
    <w:abstractNumId w:val="1"/>
  </w:num>
  <w:num w16cid:durableId="1744139326" w:numId="6">
    <w:abstractNumId w:val="2"/>
  </w:num>
  <w:num w16cid:durableId="2109040196" w:numId="7">
    <w:abstractNumId w:val="3"/>
  </w:num>
  <w:num w16cid:durableId="936250110" w:numId="8">
    <w:abstractNumId w:val="8"/>
  </w:num>
  <w:num w16cid:durableId="241763044" w:numId="9">
    <w:abstractNumId w:val="4"/>
  </w:num>
  <w:num w16cid:durableId="2069301266" w:numId="10">
    <w:abstractNumId w:val="5"/>
  </w:num>
  <w:num w16cid:durableId="627861151" w:numId="11">
    <w:abstractNumId w:val="6"/>
  </w:num>
  <w:num w16cid:durableId="1979069267" w:numId="12">
    <w:abstractNumId w:val="7"/>
  </w:num>
  <w:num w16cid:durableId="1767193092" w:numId="13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5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542DE"/>
    <w:rsid w:val="000B29C6"/>
    <w:rsid w:val="000D25DC"/>
    <w:rsid w:val="000D6317"/>
    <w:rsid w:val="00114501"/>
    <w:rsid w:val="00126383"/>
    <w:rsid w:val="00126DED"/>
    <w:rsid w:val="001603D5"/>
    <w:rsid w:val="00276C5B"/>
    <w:rsid w:val="002815A5"/>
    <w:rsid w:val="00286BCE"/>
    <w:rsid w:val="0037340D"/>
    <w:rsid w:val="0048758B"/>
    <w:rsid w:val="004C1452"/>
    <w:rsid w:val="004E29B3"/>
    <w:rsid w:val="00590D07"/>
    <w:rsid w:val="0061214F"/>
    <w:rsid w:val="006A1384"/>
    <w:rsid w:val="007766FF"/>
    <w:rsid w:val="00784D58"/>
    <w:rsid w:val="008451FF"/>
    <w:rsid w:val="00845FBF"/>
    <w:rsid w:val="00847D9F"/>
    <w:rsid w:val="00851B4B"/>
    <w:rsid w:val="008D6863"/>
    <w:rsid w:val="00A149A5"/>
    <w:rsid w:val="00A710C3"/>
    <w:rsid w:val="00AE57B5"/>
    <w:rsid w:val="00B53E15"/>
    <w:rsid w:val="00B86B75"/>
    <w:rsid w:val="00BC48D5"/>
    <w:rsid w:val="00C36279"/>
    <w:rsid w:val="00D253A1"/>
    <w:rsid w:val="00DB4130"/>
    <w:rsid w:val="00DD6BE6"/>
    <w:rsid w:val="00E315A3"/>
    <w:rsid w:val="00EA7F93"/>
    <w:rsid w:val="00EC5235"/>
    <w:rsid w:val="00ED3882"/>
    <w:rsid w:val="00ED422E"/>
    <w:rsid w:val="00FB2AFF"/>
    <w:rsid w:val="00FC2C0C"/>
    <w:rsid w:val="00FD2C67"/>
    <w:rsid w:val="00FE7261"/>
    <w:rsid w:val="00FF7F2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FC2C0C"/>
    <w:pPr>
      <w:keepNext/>
      <w:keepLines/>
      <w:spacing w:after="0" w:line="360" w:lineRule="auto"/>
      <w:outlineLvl w:val="0"/>
    </w:pPr>
    <w:rPr>
      <w:rFonts w:ascii="Times New Roman" w:cstheme="majorBidi" w:eastAsiaTheme="majorEastAsia" w:hAnsi="Times New Roman"/>
      <w:b/>
      <w:bCs/>
      <w:color w:themeColor="tex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FC2C0C"/>
    <w:pPr>
      <w:keepNext/>
      <w:keepLines/>
      <w:spacing w:after="0" w:line="360" w:lineRule="auto"/>
      <w:outlineLvl w:val="1"/>
    </w:pPr>
    <w:rPr>
      <w:rFonts w:ascii="Times New Roman" w:cstheme="majorBidi" w:eastAsiaTheme="majorEastAsia" w:hAnsi="Times New Roman"/>
      <w:b/>
      <w:bCs/>
      <w:color w:themeColor="text1"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FC2C0C"/>
    <w:pPr>
      <w:keepNext/>
      <w:keepLines/>
      <w:spacing w:after="0" w:line="360" w:lineRule="auto"/>
      <w:outlineLvl w:val="2"/>
    </w:pPr>
    <w:rPr>
      <w:rFonts w:ascii="Times New Roman" w:cstheme="majorBidi" w:eastAsiaTheme="majorEastAsia" w:hAnsi="Times New Roman"/>
      <w:b/>
      <w:bCs/>
      <w:color w:themeColor="text1" w:val="000000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FC2C0C"/>
    <w:pPr>
      <w:spacing w:after="0" w:line="360" w:lineRule="auto"/>
      <w:ind w:firstLine="720"/>
    </w:pPr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  <w:rsid w:val="00EC5235"/>
    <w:pPr>
      <w:ind w:firstLine="0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ED422E"/>
    <w:pPr>
      <w:keepNext/>
      <w:keepLines/>
      <w:spacing w:after="240" w:before="480"/>
      <w:jc w:val="center"/>
    </w:pPr>
    <w:rPr>
      <w:rFonts w:ascii="Times New Roman" w:cstheme="majorBidi" w:eastAsiaTheme="majorEastAsia" w:hAnsi="Times New Roman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EA7F93"/>
    <w:pPr>
      <w:keepNext/>
      <w:keepLines/>
      <w:jc w:val="right"/>
    </w:pPr>
    <w:rPr>
      <w:rFonts w:ascii="Times New Roman" w:hAnsi="Times New Roman"/>
    </w:rPr>
  </w:style>
  <w:style w:styleId="Date" w:type="paragraph">
    <w:name w:val="Date"/>
    <w:next w:val="BodyText"/>
    <w:qFormat/>
    <w:rsid w:val="00EA7F93"/>
    <w:pPr>
      <w:keepNext/>
      <w:keepLines/>
      <w:jc w:val="right"/>
    </w:pPr>
    <w:rPr>
      <w:rFonts w:ascii="Times New Roman" w:hAnsi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customStyle="1" w:styleId="BodyTextSuzuki" w:type="paragraph">
    <w:name w:val="Body Text Suzuki"/>
    <w:basedOn w:val="FirstParagraph"/>
    <w:qFormat/>
    <w:rsid w:val="004C1452"/>
    <w:rPr>
      <w:color w:val="FF0000"/>
    </w:rPr>
  </w:style>
  <w:style w:styleId="BodyText2" w:type="paragraph">
    <w:name w:val="Body Text 2"/>
    <w:basedOn w:val="Normal"/>
    <w:link w:val="BodyText2Char"/>
    <w:rsid w:val="00FB2AFF"/>
    <w:pPr>
      <w:spacing w:after="120" w:line="480" w:lineRule="auto"/>
    </w:pPr>
  </w:style>
  <w:style w:customStyle="1" w:styleId="BodyTextChar" w:type="character">
    <w:name w:val="Body Text Char"/>
    <w:basedOn w:val="DefaultParagraphFont"/>
    <w:link w:val="BodyText"/>
    <w:rsid w:val="00FC2C0C"/>
    <w:rPr>
      <w:rFonts w:ascii="Times New Roman" w:hAnsi="Times New Roman"/>
    </w:rPr>
  </w:style>
  <w:style w:customStyle="1" w:styleId="BodyText2Char" w:type="character">
    <w:name w:val="Body Text 2 Char"/>
    <w:basedOn w:val="DefaultParagraphFont"/>
    <w:link w:val="BodyText2"/>
    <w:rsid w:val="00FB2AFF"/>
  </w:style>
  <w:style w:styleId="BookTitle" w:type="character">
    <w:name w:val="Book Title"/>
    <w:basedOn w:val="DefaultParagraphFont"/>
    <w:rsid w:val="00FB2AFF"/>
    <w:rPr>
      <w:b/>
      <w:bCs/>
      <w:i/>
      <w:iCs/>
      <w:spacing w:val="5"/>
    </w:rPr>
  </w:style>
  <w:style w:styleId="CommentText" w:type="paragraph">
    <w:name w:val="annotation text"/>
    <w:basedOn w:val="Normal"/>
    <w:link w:val="CommentTextChar"/>
    <w:unhideWhenUsed/>
    <w:rsid w:val="00FB2AFF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rsid w:val="00FB2AFF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nhideWhenUsed/>
    <w:rsid w:val="00FB2AFF"/>
    <w:rPr>
      <w:b/>
      <w:bCs/>
    </w:rPr>
  </w:style>
  <w:style w:customStyle="1" w:styleId="CommentSubjectChar" w:type="character">
    <w:name w:val="Comment Subject Char"/>
    <w:basedOn w:val="CommentTextChar"/>
    <w:link w:val="CommentSubject"/>
    <w:rsid w:val="00FB2AFF"/>
    <w:rPr>
      <w:b/>
      <w:bCs/>
      <w:sz w:val="20"/>
      <w:szCs w:val="20"/>
    </w:rPr>
  </w:style>
  <w:style w:customStyle="1" w:styleId="Style1" w:type="paragraph">
    <w:name w:val="Style1"/>
    <w:basedOn w:val="Heading2"/>
    <w:qFormat/>
    <w:rsid w:val="008451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suzukiy970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suzukiy970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1415</Words>
  <Characters>8068</Characters>
  <Application>Microsoft Office Word</Application>
  <DocSecurity>0</DocSecurity>
  <Lines>67</Lines>
  <Paragraphs>18</Paragraphs>
  <ScaleCrop>false</ScaleCrop>
  <Company/>
  <LinksUpToDate>false</LinksUpToDate>
  <CharactersWithSpaces>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figures’ note for auditory attentional blink</dc:title>
  <dc:creator>Yuta Suzuki, Hsin-I Liao</dc:creator>
  <cp:keywords/>
  <dcterms:created xsi:type="dcterms:W3CDTF">2026-05-14T07:36:35Z</dcterms:created>
  <dcterms:modified xsi:type="dcterms:W3CDTF">2026-05-14T07:36:35Z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14 May, 2026</vt:lpwstr>
  </property>
  <property fmtid="{D5CDD505-2E9C-101B-9397-08002B2CF9AE}" pid="3" name="output">
    <vt:lpwstr/>
  </property>
  <property fmtid="{D5CDD505-2E9C-101B-9397-08002B2CF9AE}" pid="4" name="params">
    <vt:lpwstr/>
  </property>
</Properties>
</file>