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 note for N-back ipRGC study</w:t>
      </w:r>
    </w:p>
    <w:p>
      <w:pPr>
        <w:pStyle w:val="Author"/>
      </w:pPr>
      <w:r>
        <w:t xml:space="preserve">Yuta Suzuki, Shigeki Nakauchi, Hsin-I Liao</w:t>
      </w:r>
    </w:p>
    <w:p>
      <w:pPr>
        <w:pStyle w:val="Date"/>
      </w:pPr>
      <w:r>
        <w:t xml:space="preserve">10 July, 2025</w:t>
      </w:r>
    </w:p>
    <w:bookmarkStart w:id="20" w:name="article-information"/>
    <w:p>
      <w:pPr>
        <w:pStyle w:val="Heading1"/>
      </w:pPr>
      <w:r>
        <w:t xml:space="preserve">Article information</w:t>
      </w:r>
    </w:p>
    <w:p>
      <w:pPr>
        <w:pStyle w:val="FirstParagraph"/>
      </w:pPr>
      <w:r>
        <w:t xml:space="preserve">Yuta Suzuki</w:t>
      </w:r>
      <m:oMath>
        <m:sSup>
          <m:e>
            <m:r>
              <m:t>​</m:t>
            </m:r>
          </m:e>
          <m:sup>
            <m:r>
              <m:t>1</m:t>
            </m:r>
          </m:sup>
        </m:sSup>
      </m:oMath>
      <w:r>
        <w:t xml:space="preserve">, Shigeki Nakauchi</w:t>
      </w:r>
      <m:oMath>
        <m:sSup>
          <m:e>
            <m:r>
              <m:t>​</m:t>
            </m:r>
          </m:e>
          <m:sup>
            <m:r>
              <m:t>2</m:t>
            </m:r>
          </m:sup>
        </m:sSup>
      </m:oMath>
      <w:r>
        <w:t xml:space="preserve">, Hsin-I Liao</w:t>
      </w:r>
      <m:oMath>
        <m:sSup>
          <m:e>
            <m:r>
              <m:t>​</m:t>
            </m:r>
          </m:e>
          <m:sup>
            <m:r>
              <m:t>1</m:t>
            </m:r>
          </m:sup>
        </m:sSup>
      </m:oMath>
    </w:p>
    <w:p>
      <w:pPr>
        <w:pStyle w:val="BodyText"/>
      </w:pPr>
      <m:oMath>
        <m:sSup>
          <m:e>
            <m:r>
              <m:t>​</m:t>
            </m:r>
          </m:e>
          <m:sup>
            <m:r>
              <m:t>1</m:t>
            </m:r>
          </m:sup>
        </m:sSup>
      </m:oMath>
      <w:r>
        <w:t xml:space="preserve"> </w:t>
      </w:r>
      <w:r>
        <w:t xml:space="preserve">NTT Communication Science Laboratories, NTT Corporation, Atsugi</w:t>
      </w:r>
      <w:r>
        <w:t xml:space="preserve"> </w:t>
      </w:r>
      <w:r>
        <w:t xml:space="preserve">243-0198, Japan</w:t>
      </w:r>
    </w:p>
    <w:p>
      <w:pPr>
        <w:pStyle w:val="BodyText"/>
      </w:pPr>
      <m:oMath>
        <m:sSup>
          <m:e>
            <m:r>
              <m:t>​</m:t>
            </m:r>
          </m:e>
          <m:sup>
            <m:r>
              <m:t>2</m:t>
            </m:r>
          </m:sup>
        </m:sSup>
      </m:oMath>
      <w:r>
        <w:t xml:space="preserve"> </w:t>
      </w:r>
      <w:r>
        <w:t xml:space="preserve">Department of Computer Science and Engineering, Toyohashi</w:t>
      </w:r>
      <w:r>
        <w:t xml:space="preserve"> </w:t>
      </w:r>
      <w:r>
        <w:t xml:space="preserve">University of Technology, 1-1 Hibarigaoka Tempaku, Toyohashi, Aichi</w:t>
      </w:r>
      <w:r>
        <w:t xml:space="preserve"> </w:t>
      </w:r>
      <w:r>
        <w:t xml:space="preserve">441-8580, Japan</w:t>
      </w:r>
    </w:p>
    <w:p>
      <w:r>
        <w:br w:type="page"/>
      </w:r>
    </w:p>
    <w:bookmarkEnd w:id="20"/>
    <w:bookmarkStart w:id="48" w:name="results"/>
    <w:p>
      <w:pPr>
        <w:pStyle w:val="Heading1"/>
      </w:pPr>
      <w:r>
        <w:t xml:space="preserve">Results</w:t>
      </w:r>
    </w:p>
    <w:bookmarkStart w:id="23" w:name="stimulus-tuning-experiment"/>
    <w:p>
      <w:pPr>
        <w:pStyle w:val="Heading2"/>
      </w:pPr>
      <w:r>
        <w:t xml:space="preserve">Stimulus tuning experiment</w:t>
      </w:r>
    </w:p>
    <w:bookmarkStart w:id="21" w:name="load-data"/>
    <w:p>
      <w:pPr>
        <w:pStyle w:val="Heading3"/>
      </w:pPr>
      <w:r>
        <w:t xml:space="preserve">load data</w:t>
      </w:r>
    </w:p>
    <w:bookmarkEnd w:id="21"/>
    <w:bookmarkStart w:id="22" w:name="desription"/>
    <w:p>
      <w:pPr>
        <w:pStyle w:val="Heading3"/>
      </w:pPr>
      <w:r>
        <w:t xml:space="preserve">desription</w:t>
      </w:r>
    </w:p>
    <w:p>
      <w:pPr>
        <w:pStyle w:val="FirstParagraph"/>
      </w:pPr>
      <w:r>
        <w:t xml:space="preserve">In order to tune a metameric stimulus which has a higher ipRGC contrast</w:t>
      </w:r>
      <w:r>
        <w:t xml:space="preserve"> </w:t>
      </w:r>
      <w:r>
        <w:t xml:space="preserve">but independent from the cones activities taking into account individual</w:t>
      </w:r>
      <w:r>
        <w:t xml:space="preserve"> </w:t>
      </w:r>
      <w:r>
        <w:t xml:space="preserve">differences in cone distribution (reference), we first identified a</w:t>
      </w:r>
      <w:r>
        <w:t xml:space="preserve"> </w:t>
      </w:r>
      <w:r>
        <w:t xml:space="preserve">metermaric light with high ipRGC light by 2AFC experiment. Figure 2D</w:t>
      </w:r>
      <w:r>
        <w:t xml:space="preserve"> </w:t>
      </w:r>
      <w:r>
        <w:t xml:space="preserve">shows the CIE xy of the candidate low ipRGC light and number of</w:t>
      </w:r>
      <w:r>
        <w:t xml:space="preserve"> </w:t>
      </w:r>
      <w:r>
        <w:t xml:space="preserve">participants in each light that was judged to be regarded as a metameric</w:t>
      </w:r>
      <w:r>
        <w:t xml:space="preserve"> </w:t>
      </w:r>
      <w:r>
        <w:t xml:space="preserve">to the high ipRGC light. In all subjects, the selected light was</w:t>
      </w:r>
      <w:r>
        <w:t xml:space="preserve"> </w:t>
      </w:r>
      <w:r>
        <w:t xml:space="preserve">reported as being perceived as the same color at least once</w:t>
      </w:r>
      <w:r>
        <w:t xml:space="preserve"> </w:t>
      </w:r>
      <w:r>
        <w:t xml:space="preserve">(Supplementary Figure 1). The averaged luminance of selected low ipRGC</w:t>
      </w:r>
      <w:r>
        <w:t xml:space="preserve"> </w:t>
      </w:r>
      <w:r>
        <w:t xml:space="preserve">calculated based upon CIE photoreceptor sensitivities was</w:t>
      </w:r>
      <w:r>
        <w:t xml:space="preserve"> </w:t>
      </w:r>
      <w:r>
        <w:t xml:space="preserve">708.615</w:t>
      </w:r>
      <w:r>
        <w:t xml:space="preserve"> </w:t>
      </w:r>
      <m:oMath>
        <m:r>
          <m:rPr>
            <m:sty m:val="p"/>
          </m:rPr>
          <m:t>±</m:t>
        </m:r>
      </m:oMath>
      <w:r>
        <w:t xml:space="preserve"> </w:t>
      </w:r>
      <w:r>
        <w:t xml:space="preserve">17.355 cd/m2. The</w:t>
      </w:r>
      <w:r>
        <w:t xml:space="preserve"> </w:t>
      </w:r>
      <w:r>
        <w:t xml:space="preserve">averaged Michelson contrast of ipRGC across used metamar pair was</w:t>
      </w:r>
      <w:r>
        <w:t xml:space="preserve"> </w:t>
      </w:r>
      <w:r>
        <w:t xml:space="preserve">24.757</w:t>
      </w:r>
      <w:r>
        <w:t xml:space="preserve"> </w:t>
      </w:r>
      <m:oMath>
        <m:r>
          <m:rPr>
            <m:sty m:val="p"/>
          </m:rPr>
          <m:t>±</m:t>
        </m:r>
      </m:oMath>
      <w:r>
        <w:t xml:space="preserve"> </w:t>
      </w:r>
      <w:r>
        <w:t xml:space="preserve">2.517%.</w:t>
      </w:r>
    </w:p>
    <w:p>
      <w:pPr>
        <w:pStyle w:val="BodyText"/>
      </w:pPr>
      <w:r>
        <w:t xml:space="preserve">CIE xy</w:t>
      </w:r>
      <w:r>
        <w:t xml:space="preserve"> </w:t>
      </w:r>
      <w:r>
        <w:t xml:space="preserve">(0.412,</w:t>
      </w:r>
      <w:r>
        <w:t xml:space="preserve"> </w:t>
      </w:r>
      <w:r>
        <w:t xml:space="preserve">0.241)</w:t>
      </w:r>
    </w:p>
    <w:bookmarkEnd w:id="22"/>
    <w:bookmarkEnd w:id="23"/>
    <w:bookmarkStart w:id="26" w:name="brightness"/>
    <w:p>
      <w:pPr>
        <w:pStyle w:val="Heading2"/>
      </w:pPr>
      <w:r>
        <w:t xml:space="preserve">Brightness</w:t>
      </w:r>
    </w:p>
    <w:bookmarkStart w:id="24" w:name="code"/>
    <w:p>
      <w:pPr>
        <w:pStyle w:val="Heading3"/>
      </w:pPr>
      <w:r>
        <w:t xml:space="preserve">code</w:t>
      </w:r>
    </w:p>
    <w:bookmarkEnd w:id="24"/>
    <w:bookmarkStart w:id="25" w:name="desription-1"/>
    <w:p>
      <w:pPr>
        <w:pStyle w:val="Heading3"/>
      </w:pPr>
      <w:r>
        <w:t xml:space="preserve">desription</w:t>
      </w:r>
    </w:p>
    <w:p>
      <w:pPr>
        <w:pStyle w:val="FirstParagraph"/>
      </w:pPr>
      <w:r>
        <w:t xml:space="preserve">By using the metermaric light in each participants, we confirmed the</w:t>
      </w:r>
      <w:r>
        <w:t xml:space="preserve"> </w:t>
      </w:r>
      <w:r>
        <w:t xml:space="preserve">activation of ipRGC by the brightness judgement experiment. Figure 1E</w:t>
      </w:r>
      <w:r>
        <w:t xml:space="preserve"> </w:t>
      </w:r>
      <w:r>
        <w:t xml:space="preserve">shows the ratio of adjusted luminance to high ipRGC light. The high</w:t>
      </w:r>
      <w:r>
        <w:t xml:space="preserve"> </w:t>
      </w:r>
      <w:r>
        <w:t xml:space="preserve">ipRGC light was perceived around 20% more brighter than the low ipRGC</w:t>
      </w:r>
      <w:r>
        <w:t xml:space="preserve"> </w:t>
      </w:r>
      <w:r>
        <w:t xml:space="preserve">light (</w:t>
      </w:r>
      <m:oMath>
        <m:r>
          <m:t>t</m:t>
        </m:r>
      </m:oMath>
      <w:r>
        <w:t xml:space="preserve">(25) = 4.943,</w:t>
      </w:r>
      <w:r>
        <w:t xml:space="preserve"> </w:t>
      </w:r>
      <m:oMath>
        <m:r>
          <m:t>p</m:t>
        </m:r>
      </m:oMath>
      <w:r>
        <w:t xml:space="preserve"> </w:t>
      </w:r>
      <w:r>
        <w:t xml:space="preserve">&lt; 0.001,</w:t>
      </w:r>
      <w:r>
        <w:t xml:space="preserve"> </w:t>
      </w:r>
      <m:oMath>
        <m:sSub>
          <m:e>
            <m:r>
              <m:t>d</m:t>
            </m:r>
          </m:e>
          <m:sub>
            <m:r>
              <m:t>z</m:t>
            </m:r>
          </m:sub>
        </m:sSub>
      </m:oMath>
      <w:r>
        <w:t xml:space="preserve"> </w:t>
      </w:r>
      <w:r>
        <w:t xml:space="preserve">= 1.371,</w:t>
      </w:r>
      <w:r>
        <w:t xml:space="preserve"> </w:t>
      </w:r>
      <m:oMath>
        <m:r>
          <m:t>B</m:t>
        </m:r>
        <m:sSub>
          <m:e>
            <m:r>
              <m:t>F</m:t>
            </m:r>
          </m:e>
          <m:sub>
            <m:r>
              <m:t>10</m:t>
            </m:r>
          </m:sub>
        </m:sSub>
      </m:oMath>
      <w:r>
        <w:t xml:space="preserve"> </w:t>
      </w:r>
      <w:r>
        <w:t xml:space="preserve">&gt; 100), consistent with previous</w:t>
      </w:r>
      <w:r>
        <w:t xml:space="preserve"> </w:t>
      </w:r>
      <w:r>
        <w:t xml:space="preserve">studies (Brown et al., 2012, Yamakawa et al.,2019).</w:t>
      </w:r>
    </w:p>
    <w:bookmarkEnd w:id="25"/>
    <w:bookmarkEnd w:id="26"/>
    <w:bookmarkStart w:id="30" w:name="pupil-size"/>
    <w:p>
      <w:pPr>
        <w:pStyle w:val="Heading2"/>
      </w:pPr>
      <w:r>
        <w:t xml:space="preserve">Pupil size</w:t>
      </w:r>
    </w:p>
    <w:bookmarkStart w:id="27" w:name="load-data-1"/>
    <w:p>
      <w:pPr>
        <w:pStyle w:val="Heading3"/>
      </w:pPr>
      <w:r>
        <w:t xml:space="preserve">load data</w:t>
      </w:r>
    </w:p>
    <w:bookmarkEnd w:id="27"/>
    <w:bookmarkStart w:id="28" w:name="code-1"/>
    <w:p>
      <w:pPr>
        <w:pStyle w:val="Heading3"/>
      </w:pPr>
      <w:r>
        <w:t xml:space="preserve">code</w:t>
      </w:r>
    </w:p>
    <w:bookmarkEnd w:id="28"/>
    <w:bookmarkStart w:id="29" w:name="desription-2"/>
    <w:p>
      <w:pPr>
        <w:pStyle w:val="Heading3"/>
      </w:pPr>
      <w:r>
        <w:t xml:space="preserve">desription</w:t>
      </w:r>
    </w:p>
    <w:p>
      <w:pPr>
        <w:pStyle w:val="FirstParagraph"/>
      </w:pPr>
      <w:r>
        <w:t xml:space="preserve">Pupil size was measured using an infrared camera while participants were</w:t>
      </w:r>
      <w:r>
        <w:t xml:space="preserve"> </w:t>
      </w:r>
      <w:r>
        <w:t xml:space="preserve">lighted low and high ipRGC light and engaged in 1- or 2-back task (see</w:t>
      </w:r>
      <w:r>
        <w:t xml:space="preserve"> </w:t>
      </w:r>
      <w:r>
        <w:t xml:space="preserve">Method). Figure 2B illustrates the averaged pupil size during 1- and</w:t>
      </w:r>
      <w:r>
        <w:t xml:space="preserve"> </w:t>
      </w:r>
      <w:r>
        <w:t xml:space="preserve">2-back task in each lighting condition. A two-way repeated measures</w:t>
      </w:r>
      <w:r>
        <w:t xml:space="preserve"> </w:t>
      </w:r>
      <w:r>
        <w:t xml:space="preserve">ANOVA for the main effect of light showed that the pupil size for high</w:t>
      </w:r>
      <w:r>
        <w:t xml:space="preserve"> </w:t>
      </w:r>
      <w:r>
        <w:t xml:space="preserve">ipRGC light was significantly smaller than for low ipRGC light</w:t>
      </w:r>
      <w:r>
        <w:t xml:space="preserve"> </w:t>
      </w:r>
      <w:r>
        <w:t xml:space="preserve">(</w:t>
      </w:r>
      <m:oMath>
        <m:r>
          <m:t>F</m:t>
        </m:r>
      </m:oMath>
      <w:r>
        <w:t xml:space="preserve">(1,25) = 24.214, p &lt; 0.001,</w:t>
      </w:r>
      <w:r>
        <w:t xml:space="preserve"> </w:t>
      </w:r>
      <m:oMath>
        <m:sSubSup>
          <m:e>
            <m:r>
              <m:t>η</m:t>
            </m:r>
          </m:e>
          <m:sub>
            <m:r>
              <m:t>p</m:t>
            </m:r>
          </m:sub>
          <m:sup>
            <m:r>
              <m:t>2</m:t>
            </m:r>
          </m:sup>
        </m:sSubSup>
      </m:oMath>
      <w:r>
        <w:t xml:space="preserve"> </w:t>
      </w:r>
      <w:r>
        <w:t xml:space="preserve">= 0.492,</w:t>
      </w:r>
      <w:r>
        <w:t xml:space="preserve"> </w:t>
      </w:r>
      <m:oMath>
        <m:r>
          <m:t>B</m:t>
        </m:r>
        <m:sSub>
          <m:e>
            <m:r>
              <m:t>F</m:t>
            </m:r>
          </m:e>
          <m:sub>
            <m:r>
              <m:t>10</m:t>
            </m:r>
          </m:sub>
        </m:sSub>
      </m:oMath>
      <w:r>
        <w:t xml:space="preserve"> </w:t>
      </w:r>
      <w:r>
        <w:t xml:space="preserve">&gt; 100), consistent with</w:t>
      </w:r>
      <w:r>
        <w:t xml:space="preserve"> </w:t>
      </w:r>
      <w:r>
        <w:t xml:space="preserve">the previous studies as an effect of activation of ipRGC. Following post</w:t>
      </w:r>
      <w:r>
        <w:t xml:space="preserve"> </w:t>
      </w:r>
      <w:r>
        <w:t xml:space="preserve">analysis also showed that the pupil size in both N-back task for high</w:t>
      </w:r>
      <w:r>
        <w:t xml:space="preserve"> </w:t>
      </w:r>
      <w:r>
        <w:t xml:space="preserve">ipRGC light was smaller than for low ipRGC light</w:t>
      </w:r>
      <w:r>
        <w:t xml:space="preserve"> </w:t>
      </w:r>
      <w:r>
        <w:t xml:space="preserve">(1-back:</w:t>
      </w:r>
      <w:r>
        <w:t xml:space="preserve"> </w:t>
      </w:r>
      <m:oMath>
        <m:r>
          <m:t>t</m:t>
        </m:r>
      </m:oMath>
      <w:r>
        <w:t xml:space="preserve">(25) = -4.81,</w:t>
      </w:r>
      <w:r>
        <w:t xml:space="preserve"> </w:t>
      </w:r>
      <m:oMath>
        <m:r>
          <m:t>p</m:t>
        </m:r>
      </m:oMath>
      <w:r>
        <w:t xml:space="preserve"> </w:t>
      </w:r>
      <w:r>
        <w:t xml:space="preserve">&lt; 0.001,</w:t>
      </w:r>
      <w:r>
        <w:t xml:space="preserve"> </w:t>
      </w:r>
      <m:oMath>
        <m:sSub>
          <m:e>
            <m:r>
              <m:t>d</m:t>
            </m:r>
          </m:e>
          <m:sub>
            <m:r>
              <m:t>z</m:t>
            </m:r>
          </m:sub>
        </m:sSub>
      </m:oMath>
      <w:r>
        <w:t xml:space="preserve"> </w:t>
      </w:r>
      <w:r>
        <w:t xml:space="preserve">= -0.641,</w:t>
      </w:r>
      <w:r>
        <w:t xml:space="preserve"> </w:t>
      </w:r>
      <m:oMath>
        <m:r>
          <m:t>B</m:t>
        </m:r>
        <m:sSub>
          <m:e>
            <m:r>
              <m:t>F</m:t>
            </m:r>
          </m:e>
          <m:sub>
            <m:r>
              <m:t>10</m:t>
            </m:r>
          </m:sub>
        </m:sSub>
      </m:oMath>
      <w:r>
        <w:t xml:space="preserve"> </w:t>
      </w:r>
      <w:r>
        <w:t xml:space="preserve">&gt; 100; 2-back:</w:t>
      </w:r>
      <w:r>
        <w:t xml:space="preserve"> </w:t>
      </w:r>
      <m:oMath>
        <m:r>
          <m:t>t</m:t>
        </m:r>
      </m:oMath>
      <w:r>
        <w:t xml:space="preserve">(25) = -4.846,</w:t>
      </w:r>
      <w:r>
        <w:t xml:space="preserve"> </w:t>
      </w:r>
      <m:oMath>
        <m:r>
          <m:t>p</m:t>
        </m:r>
      </m:oMath>
      <w:r>
        <w:t xml:space="preserve"> </w:t>
      </w:r>
      <w:r>
        <w:t xml:space="preserve">&lt; 0.001,</w:t>
      </w:r>
      <w:r>
        <w:t xml:space="preserve"> </w:t>
      </w:r>
      <m:oMath>
        <m:sSub>
          <m:e>
            <m:r>
              <m:t>d</m:t>
            </m:r>
          </m:e>
          <m:sub>
            <m:r>
              <m:t>z</m:t>
            </m:r>
          </m:sub>
        </m:sSub>
      </m:oMath>
      <w:r>
        <w:t xml:space="preserve"> </w:t>
      </w:r>
      <w:r>
        <w:t xml:space="preserve">= -0.703,</w:t>
      </w:r>
      <w:r>
        <w:t xml:space="preserve"> </w:t>
      </w:r>
      <m:oMath>
        <m:r>
          <m:t>B</m:t>
        </m:r>
        <m:sSub>
          <m:e>
            <m:r>
              <m:t>F</m:t>
            </m:r>
          </m:e>
          <m:sub>
            <m:r>
              <m:t>10</m:t>
            </m:r>
          </m:sub>
        </m:sSub>
      </m:oMath>
      <w:r>
        <w:t xml:space="preserve"> </w:t>
      </w:r>
      <w:r>
        <w:t xml:space="preserve">&gt; 100).</w:t>
      </w:r>
      <w:r>
        <w:t xml:space="preserve"> </w:t>
      </w:r>
      <w:r>
        <w:t xml:space="preserve">In addition, the pupil size of 2-back task was larger than of 1-back</w:t>
      </w:r>
      <w:r>
        <w:t xml:space="preserve"> </w:t>
      </w:r>
      <w:r>
        <w:t xml:space="preserve">task as reported an effect of cognitive load differences previously</w:t>
      </w:r>
      <w:r>
        <w:t xml:space="preserve"> </w:t>
      </w:r>
      <w:r>
        <w:t xml:space="preserve">(</w:t>
      </w:r>
      <m:oMath>
        <m:r>
          <m:t>F</m:t>
        </m:r>
      </m:oMath>
      <w:r>
        <w:t xml:space="preserve">(1,25) = 14.702,</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0.37,</w:t>
      </w:r>
      <w:r>
        <w:t xml:space="preserve"> </w:t>
      </w:r>
      <m:oMath>
        <m:r>
          <m:t>B</m:t>
        </m:r>
        <m:sSub>
          <m:e>
            <m:r>
              <m:t>F</m:t>
            </m:r>
          </m:e>
          <m:sub>
            <m:r>
              <m:t>10</m:t>
            </m:r>
          </m:sub>
        </m:sSub>
      </m:oMath>
      <w:r>
        <w:t xml:space="preserve"> </w:t>
      </w:r>
      <w:r>
        <w:t xml:space="preserve">= 1.034), as reported</w:t>
      </w:r>
      <w:r>
        <w:t xml:space="preserve"> </w:t>
      </w:r>
      <w:r>
        <w:t xml:space="preserve">here and elsewhere.</w:t>
      </w:r>
    </w:p>
    <w:bookmarkEnd w:id="29"/>
    <w:bookmarkEnd w:id="30"/>
    <w:bookmarkStart w:id="33" w:name="accuracy"/>
    <w:p>
      <w:pPr>
        <w:pStyle w:val="Heading2"/>
      </w:pPr>
      <w:r>
        <w:t xml:space="preserve">Accuracy</w:t>
      </w:r>
    </w:p>
    <w:bookmarkStart w:id="31" w:name="load-data-2"/>
    <w:p>
      <w:pPr>
        <w:pStyle w:val="Heading3"/>
      </w:pPr>
      <w:r>
        <w:t xml:space="preserve">load data</w:t>
      </w:r>
    </w:p>
    <w:bookmarkEnd w:id="31"/>
    <w:bookmarkStart w:id="32" w:name="desription-3"/>
    <w:p>
      <w:pPr>
        <w:pStyle w:val="Heading3"/>
      </w:pPr>
      <w:r>
        <w:t xml:space="preserve">desription</w:t>
      </w:r>
    </w:p>
    <w:p>
      <w:pPr>
        <w:pStyle w:val="FirstParagraph"/>
      </w:pPr>
      <w:r>
        <w:t xml:space="preserve">To see the effect of light on the task performance of N-back task, we</w:t>
      </w:r>
      <w:r>
        <w:t xml:space="preserve"> </w:t>
      </w:r>
      <w:r>
        <w:t xml:space="preserve">compared the hit rate between the lighting condition as illustrated in</w:t>
      </w:r>
      <w:r>
        <w:t xml:space="preserve"> </w:t>
      </w:r>
      <w:r>
        <w:t xml:space="preserve">Figure 2C. We found the main effect of light showing that the the hit</w:t>
      </w:r>
      <w:r>
        <w:t xml:space="preserve"> </w:t>
      </w:r>
      <w:r>
        <w:t xml:space="preserve">rate under high ipRGC was higher than under low ipRGC</w:t>
      </w:r>
      <w:r>
        <w:t xml:space="preserve"> </w:t>
      </w:r>
      <w:r>
        <w:t xml:space="preserve">(</w:t>
      </w:r>
      <m:oMath>
        <m:r>
          <m:t>F</m:t>
        </m:r>
      </m:oMath>
      <w:r>
        <w:t xml:space="preserve">(1,25) = 4.848,</w:t>
      </w:r>
      <w:r>
        <w:t xml:space="preserve"> </w:t>
      </w:r>
      <m:oMath>
        <m:r>
          <m:t>p</m:t>
        </m:r>
      </m:oMath>
      <w:r>
        <w:t xml:space="preserve"> </w:t>
      </w:r>
      <w:r>
        <w:t xml:space="preserve">= 0.037,</w:t>
      </w:r>
      <w:r>
        <w:t xml:space="preserve"> </w:t>
      </w:r>
      <m:oMath>
        <m:sSubSup>
          <m:e>
            <m:r>
              <m:t>η</m:t>
            </m:r>
          </m:e>
          <m:sub>
            <m:r>
              <m:t>p</m:t>
            </m:r>
          </m:sub>
          <m:sup>
            <m:r>
              <m:t>2</m:t>
            </m:r>
          </m:sup>
        </m:sSubSup>
      </m:oMath>
      <w:r>
        <w:t xml:space="preserve"> </w:t>
      </w:r>
      <w:r>
        <w:t xml:space="preserve">= 0.162,</w:t>
      </w:r>
      <w:r>
        <w:t xml:space="preserve"> </w:t>
      </w:r>
      <m:oMath>
        <m:r>
          <m:t>B</m:t>
        </m:r>
        <m:sSub>
          <m:e>
            <m:r>
              <m:t>F</m:t>
            </m:r>
          </m:e>
          <m:sub>
            <m:r>
              <m:t>10</m:t>
            </m:r>
          </m:sub>
        </m:sSub>
      </m:oMath>
      <w:r>
        <w:t xml:space="preserve"> </w:t>
      </w:r>
      <w:r>
        <w:t xml:space="preserve">= 0.674). There are significant of</w:t>
      </w:r>
      <w:r>
        <w:t xml:space="preserve"> </w:t>
      </w:r>
      <w:r>
        <w:t xml:space="preserve">interaction between N-back and light condition</w:t>
      </w:r>
      <w:r>
        <w:t xml:space="preserve"> </w:t>
      </w:r>
      <w:r>
        <w:t xml:space="preserve">(</w:t>
      </w:r>
      <m:oMath>
        <m:r>
          <m:t>F</m:t>
        </m:r>
      </m:oMath>
      <w:r>
        <w:t xml:space="preserve">(1,25) = 5.239,</w:t>
      </w:r>
      <w:r>
        <w:t xml:space="preserve"> </w:t>
      </w:r>
      <m:oMath>
        <m:r>
          <m:t>p</m:t>
        </m:r>
      </m:oMath>
      <w:r>
        <w:t xml:space="preserve"> </w:t>
      </w:r>
      <w:r>
        <w:t xml:space="preserve">= 0.031,</w:t>
      </w:r>
      <w:r>
        <w:t xml:space="preserve"> </w:t>
      </w:r>
      <m:oMath>
        <m:sSubSup>
          <m:e>
            <m:r>
              <m:t>η</m:t>
            </m:r>
          </m:e>
          <m:sub>
            <m:r>
              <m:t>p</m:t>
            </m:r>
          </m:sub>
          <m:sup>
            <m:r>
              <m:t>2</m:t>
            </m:r>
          </m:sup>
        </m:sSubSup>
      </m:oMath>
      <w:r>
        <w:t xml:space="preserve"> </w:t>
      </w:r>
      <w:r>
        <w:t xml:space="preserve">= 0.173,</w:t>
      </w:r>
      <w:r>
        <w:t xml:space="preserve"> </w:t>
      </w:r>
      <m:oMath>
        <m:r>
          <m:t>B</m:t>
        </m:r>
        <m:sSub>
          <m:e>
            <m:r>
              <m:t>F</m:t>
            </m:r>
          </m:e>
          <m:sub>
            <m:r>
              <m:t>10</m:t>
            </m:r>
          </m:sub>
        </m:sSub>
      </m:oMath>
      <w:r>
        <w:t xml:space="preserve"> </w:t>
      </w:r>
      <w:r>
        <w:t xml:space="preserve">= 0.686). Post analysis showed</w:t>
      </w:r>
      <w:r>
        <w:t xml:space="preserve"> </w:t>
      </w:r>
      <w:r>
        <w:t xml:space="preserve">that the higher accuracy under high ipRGC was seen in the 2-back but not</w:t>
      </w:r>
      <w:r>
        <w:t xml:space="preserve"> </w:t>
      </w:r>
      <w:r>
        <w:t xml:space="preserve">in the 1-back (1-back;</w:t>
      </w:r>
      <m:oMath>
        <m:r>
          <m:t>t</m:t>
        </m:r>
      </m:oMath>
      <w:r>
        <w:t xml:space="preserve">(25) = 0.702,</w:t>
      </w:r>
      <w:r>
        <w:t xml:space="preserve"> </w:t>
      </w:r>
      <m:oMath>
        <m:r>
          <m:t>p</m:t>
        </m:r>
      </m:oMath>
      <w:r>
        <w:t xml:space="preserve"> </w:t>
      </w:r>
      <w:r>
        <w:t xml:space="preserve">= 0.489,</w:t>
      </w:r>
      <w:r>
        <w:t xml:space="preserve"> </w:t>
      </w:r>
      <m:oMath>
        <m:sSub>
          <m:e>
            <m:r>
              <m:t>d</m:t>
            </m:r>
          </m:e>
          <m:sub>
            <m:r>
              <m:t>z</m:t>
            </m:r>
          </m:sub>
        </m:sSub>
      </m:oMath>
      <w:r>
        <w:t xml:space="preserve"> </w:t>
      </w:r>
      <w:r>
        <w:t xml:space="preserve">= 0.078,</w:t>
      </w:r>
      <w:r>
        <w:t xml:space="preserve"> </w:t>
      </w:r>
      <m:oMath>
        <m:r>
          <m:t>B</m:t>
        </m:r>
        <m:sSub>
          <m:e>
            <m:r>
              <m:t>F</m:t>
            </m:r>
          </m:e>
          <m:sub>
            <m:r>
              <m:t>10</m:t>
            </m:r>
          </m:sub>
        </m:sSub>
      </m:oMath>
      <w:r>
        <w:t xml:space="preserve"> </w:t>
      </w:r>
      <w:r>
        <w:t xml:space="preserve">= 0.259,</w:t>
      </w:r>
      <w:r>
        <w:t xml:space="preserve"> </w:t>
      </w:r>
      <w:r>
        <w:t xml:space="preserve">2-back;</w:t>
      </w:r>
      <m:oMath>
        <m:r>
          <m:t>t</m:t>
        </m:r>
      </m:oMath>
      <w:r>
        <w:t xml:space="preserve">(25) = 2.717,</w:t>
      </w:r>
      <w:r>
        <w:t xml:space="preserve"> </w:t>
      </w:r>
      <m:oMath>
        <m:r>
          <m:t>p</m:t>
        </m:r>
      </m:oMath>
      <w:r>
        <w:t xml:space="preserve"> </w:t>
      </w:r>
      <w:r>
        <w:t xml:space="preserve">= 0.012,</w:t>
      </w:r>
      <w:r>
        <w:t xml:space="preserve"> </w:t>
      </w:r>
      <m:oMath>
        <m:sSub>
          <m:e>
            <m:r>
              <m:t>d</m:t>
            </m:r>
          </m:e>
          <m:sub>
            <m:r>
              <m:t>z</m:t>
            </m:r>
          </m:sub>
        </m:sSub>
      </m:oMath>
      <w:r>
        <w:t xml:space="preserve"> </w:t>
      </w:r>
      <w:r>
        <w:t xml:space="preserve">= 0.507,</w:t>
      </w:r>
      <w:r>
        <w:t xml:space="preserve"> </w:t>
      </w:r>
      <m:oMath>
        <m:r>
          <m:t>B</m:t>
        </m:r>
        <m:sSub>
          <m:e>
            <m:r>
              <m:t>F</m:t>
            </m:r>
          </m:e>
          <m:sub>
            <m:r>
              <m:t>10</m:t>
            </m:r>
          </m:sub>
        </m:sSub>
      </m:oMath>
      <w:r>
        <w:t xml:space="preserve"> </w:t>
      </w:r>
      <w:r>
        <w:t xml:space="preserve">= 4.109). As an effect of working</w:t>
      </w:r>
      <w:r>
        <w:t xml:space="preserve"> </w:t>
      </w:r>
      <w:r>
        <w:t xml:space="preserve">memory load on accuracy, the hit rate of 1-back task is higher than of</w:t>
      </w:r>
      <w:r>
        <w:t xml:space="preserve"> </w:t>
      </w:r>
      <w:r>
        <w:t xml:space="preserve">2-back task (</w:t>
      </w:r>
      <m:oMath>
        <m:r>
          <m:t>F</m:t>
        </m:r>
      </m:oMath>
      <w:r>
        <w:t xml:space="preserve">(1,25) = 30.806, p &lt; 0.001,</w:t>
      </w:r>
      <w:r>
        <w:t xml:space="preserve"> </w:t>
      </w:r>
      <m:oMath>
        <m:sSubSup>
          <m:e>
            <m:r>
              <m:t>η</m:t>
            </m:r>
          </m:e>
          <m:sub>
            <m:r>
              <m:t>p</m:t>
            </m:r>
          </m:sub>
          <m:sup>
            <m:r>
              <m:t>2</m:t>
            </m:r>
          </m:sup>
        </m:sSubSup>
      </m:oMath>
      <w:r>
        <w:t xml:space="preserve"> </w:t>
      </w:r>
      <w:r>
        <w:t xml:space="preserve">= 0.552,</w:t>
      </w:r>
      <w:r>
        <w:t xml:space="preserve"> </w:t>
      </w:r>
      <m:oMath>
        <m:r>
          <m:t>B</m:t>
        </m:r>
        <m:sSub>
          <m:e>
            <m:r>
              <m:t>F</m:t>
            </m:r>
          </m:e>
          <m:sub>
            <m:r>
              <m:t>10</m:t>
            </m:r>
          </m:sub>
        </m:sSub>
      </m:oMath>
      <w:r>
        <w:t xml:space="preserve"> </w:t>
      </w:r>
      <w:r>
        <w:t xml:space="preserve">&gt; 100). The False</w:t>
      </w:r>
      <w:r>
        <w:t xml:space="preserve"> </w:t>
      </w:r>
      <w:r>
        <w:t xml:space="preserve">alarm also decreased in the 2-back task under high ipRGC with marginaly</w:t>
      </w:r>
      <w:r>
        <w:t xml:space="preserve"> </w:t>
      </w:r>
      <w:r>
        <w:t xml:space="preserve">significance (</w:t>
      </w:r>
      <m:oMath>
        <m:r>
          <m:t>t</m:t>
        </m:r>
      </m:oMath>
      <w:r>
        <w:t xml:space="preserve">(25) = 1.914,</w:t>
      </w:r>
      <w:r>
        <w:t xml:space="preserve"> </w:t>
      </w:r>
      <m:oMath>
        <m:r>
          <m:t>p</m:t>
        </m:r>
      </m:oMath>
      <w:r>
        <w:t xml:space="preserve"> </w:t>
      </w:r>
      <w:r>
        <w:t xml:space="preserve">= 0.067,</w:t>
      </w:r>
      <w:r>
        <w:t xml:space="preserve"> </w:t>
      </w:r>
      <m:oMath>
        <m:sSub>
          <m:e>
            <m:r>
              <m:t>d</m:t>
            </m:r>
          </m:e>
          <m:sub>
            <m:r>
              <m:t>z</m:t>
            </m:r>
          </m:sub>
        </m:sSub>
      </m:oMath>
      <w:r>
        <w:t xml:space="preserve"> </w:t>
      </w:r>
      <w:r>
        <w:t xml:space="preserve">= 0.421,</w:t>
      </w:r>
      <w:r>
        <w:t xml:space="preserve"> </w:t>
      </w:r>
      <m:oMath>
        <m:r>
          <m:t>B</m:t>
        </m:r>
        <m:sSub>
          <m:e>
            <m:r>
              <m:t>F</m:t>
            </m:r>
          </m:e>
          <m:sub>
            <m:r>
              <m:t>10</m:t>
            </m:r>
          </m:sub>
        </m:sSub>
      </m:oMath>
      <w:r>
        <w:t xml:space="preserve"> </w:t>
      </w:r>
      <w:r>
        <w:t xml:space="preserve">= 1.003). The details of hit,</w:t>
      </w:r>
      <w:r>
        <w:t xml:space="preserve"> </w:t>
      </w:r>
      <w:r>
        <w:t xml:space="preserve">miss, false alarm and correct rejection are shown in Tables S1.</w:t>
      </w:r>
    </w:p>
    <w:bookmarkEnd w:id="32"/>
    <w:bookmarkEnd w:id="33"/>
    <w:bookmarkStart w:id="37" w:name="response-times"/>
    <w:p>
      <w:pPr>
        <w:pStyle w:val="Heading2"/>
      </w:pPr>
      <w:r>
        <w:t xml:space="preserve">Response times</w:t>
      </w:r>
    </w:p>
    <w:bookmarkStart w:id="34" w:name="load-data-3"/>
    <w:p>
      <w:pPr>
        <w:pStyle w:val="Heading3"/>
      </w:pPr>
      <w:r>
        <w:t xml:space="preserve">load data</w:t>
      </w:r>
    </w:p>
    <w:bookmarkEnd w:id="34"/>
    <w:bookmarkStart w:id="35" w:name="code-2"/>
    <w:p>
      <w:pPr>
        <w:pStyle w:val="Heading3"/>
      </w:pPr>
      <w:r>
        <w:t xml:space="preserve">code</w:t>
      </w:r>
    </w:p>
    <w:bookmarkEnd w:id="35"/>
    <w:bookmarkStart w:id="36" w:name="desription-4"/>
    <w:p>
      <w:pPr>
        <w:pStyle w:val="Heading3"/>
      </w:pPr>
      <w:r>
        <w:t xml:space="preserve">desription</w:t>
      </w:r>
    </w:p>
    <w:p>
      <w:pPr>
        <w:pStyle w:val="FirstParagraph"/>
      </w:pPr>
      <w:r>
        <w:t xml:space="preserve">Response time (RT) was calculated from the stimulus onset to the</w:t>
      </w:r>
      <w:r>
        <w:t xml:space="preserve"> </w:t>
      </w:r>
      <w:r>
        <w:t xml:space="preserve">participants’ key presses. Linear mixed model analyses were conducted</w:t>
      </w:r>
      <w:r>
        <w:t xml:space="preserve"> </w:t>
      </w:r>
      <w:r>
        <w:t xml:space="preserve">corresponds to the following formula:</w:t>
      </w:r>
      <w:r>
        <w:t xml:space="preserve"> </w:t>
      </w:r>
      <m:oMath>
        <m:r>
          <m:t>R</m:t>
        </m:r>
        <m:r>
          <m:t>T</m:t>
        </m:r>
        <m:r>
          <m:rPr>
            <m:sty m:val="p"/>
          </m:rPr>
          <m:t>∼</m:t>
        </m:r>
        <m:r>
          <m:t>L</m:t>
        </m:r>
        <m:r>
          <m:t>i</m:t>
        </m:r>
        <m:r>
          <m:t>g</m:t>
        </m:r>
        <m:r>
          <m:t>h</m:t>
        </m:r>
        <m:r>
          <m:t>t</m:t>
        </m:r>
        <m:r>
          <m:rPr>
            <m:sty m:val="p"/>
          </m:rPr>
          <m:t>+</m:t>
        </m:r>
        <m:d>
          <m:dPr>
            <m:begChr m:val="("/>
            <m:endChr m:val=")"/>
            <m:sepChr m:val=""/>
            <m:grow/>
          </m:dPr>
          <m:e>
            <m:r>
              <m:t>1</m:t>
            </m:r>
            <m:r>
              <m:rPr>
                <m:sty m:val="p"/>
              </m:rPr>
              <m:t>+</m:t>
            </m:r>
            <m:r>
              <m:rPr>
                <m:sty m:val="p"/>
              </m:rPr>
              <m:t>|</m:t>
            </m:r>
            <m:r>
              <m:t>S</m:t>
            </m:r>
            <m:r>
              <m:t>u</m:t>
            </m:r>
            <m:r>
              <m:t>b</m:t>
            </m:r>
            <m:r>
              <m:t>j</m:t>
            </m:r>
            <m:r>
              <m:t>e</m:t>
            </m:r>
            <m:r>
              <m:t>c</m:t>
            </m:r>
            <m:r>
              <m:t>t</m:t>
            </m:r>
          </m:e>
        </m:d>
      </m:oMath>
      <w:r>
        <w:t xml:space="preserve">. To</w:t>
      </w:r>
      <w:r>
        <w:t xml:space="preserve"> </w:t>
      </w:r>
      <w:r>
        <w:t xml:space="preserve">statistically assess whether the RTs differed between lighting</w:t>
      </w:r>
      <w:r>
        <w:t xml:space="preserve"> </w:t>
      </w:r>
      <w:r>
        <w:t xml:space="preserve">conditions, 95% confidence intervals (CI) for the RTs were estimated</w:t>
      </w:r>
      <w:r>
        <w:t xml:space="preserve"> </w:t>
      </w:r>
      <w:r>
        <w:t xml:space="preserve">with 10000 bootstrap samples. The estimated CIs of RTs between low and</w:t>
      </w:r>
      <w:r>
        <w:t xml:space="preserve"> </w:t>
      </w:r>
      <w:r>
        <w:t xml:space="preserve">high ipRGC was [-28.25,</w:t>
      </w:r>
      <w:r>
        <w:t xml:space="preserve"> </w:t>
      </w:r>
      <w:r>
        <w:t xml:space="preserve">-9.044],</w:t>
      </w:r>
      <w:r>
        <w:t xml:space="preserve"> </w:t>
      </w:r>
      <m:oMath>
        <m:r>
          <m:t>t</m:t>
        </m:r>
      </m:oMath>
      <w:r>
        <w:t xml:space="preserve">(25) = 4.536,</w:t>
      </w:r>
      <w:r>
        <w:t xml:space="preserve"> </w:t>
      </w:r>
      <m:oMath>
        <m:r>
          <m:t>p</m:t>
        </m:r>
      </m:oMath>
      <w:r>
        <w:t xml:space="preserve"> </w:t>
      </w:r>
      <w:r>
        <w:t xml:space="preserve">&lt; 0.001,</w:t>
      </w:r>
      <w:r>
        <w:t xml:space="preserve"> </w:t>
      </w:r>
      <m:oMath>
        <m:sSub>
          <m:e>
            <m:r>
              <m:t>d</m:t>
            </m:r>
          </m:e>
          <m:sub>
            <m:r>
              <m:t>z</m:t>
            </m:r>
          </m:sub>
        </m:sSub>
      </m:oMath>
      <w:r>
        <w:t xml:space="preserve"> </w:t>
      </w:r>
      <w:r>
        <w:t xml:space="preserve">= 0.139 for 1-back and</w:t>
      </w:r>
      <w:r>
        <w:t xml:space="preserve"> </w:t>
      </w:r>
      <w:r>
        <w:t xml:space="preserve">[-18.739,</w:t>
      </w:r>
      <w:r>
        <w:t xml:space="preserve"> </w:t>
      </w:r>
      <w:r>
        <w:t xml:space="preserve">10.804],</w:t>
      </w:r>
      <w:r>
        <w:t xml:space="preserve"> </w:t>
      </w:r>
      <m:oMath>
        <m:r>
          <m:t>t</m:t>
        </m:r>
      </m:oMath>
      <w:r>
        <w:t xml:space="preserve">(25) = 0.355,</w:t>
      </w:r>
      <w:r>
        <w:t xml:space="preserve"> </w:t>
      </w:r>
      <m:oMath>
        <m:r>
          <m:t>p</m:t>
        </m:r>
      </m:oMath>
      <w:r>
        <w:t xml:space="preserve">=0.722,</w:t>
      </w:r>
      <w:r>
        <w:t xml:space="preserve"> </w:t>
      </w:r>
      <m:oMath>
        <m:sSub>
          <m:e>
            <m:r>
              <m:t>d</m:t>
            </m:r>
          </m:e>
          <m:sub>
            <m:r>
              <m:t>z</m:t>
            </m:r>
          </m:sub>
        </m:sSub>
      </m:oMath>
      <w:r>
        <w:t xml:space="preserve"> </w:t>
      </w:r>
      <w:r>
        <w:t xml:space="preserve">= 0.011 for 2-back shown at top in</w:t>
      </w:r>
      <w:r>
        <w:t xml:space="preserve"> </w:t>
      </w:r>
      <w:r>
        <w:t xml:space="preserve">Figure2D. The RTs was significantly faster for high ipRGC light for both</w:t>
      </w:r>
      <w:r>
        <w:t xml:space="preserve"> </w:t>
      </w:r>
      <w:r>
        <w:t xml:space="preserve">1- and 2-back task.</w:t>
      </w:r>
    </w:p>
    <w:bookmarkEnd w:id="36"/>
    <w:bookmarkEnd w:id="37"/>
    <w:bookmarkStart w:id="46" w:name="questionnaire"/>
    <w:p>
      <w:pPr>
        <w:pStyle w:val="Heading2"/>
      </w:pPr>
      <w:r>
        <w:t xml:space="preserve">Questionnaire</w:t>
      </w:r>
    </w:p>
    <w:bookmarkStart w:id="38" w:name="load-data-4"/>
    <w:p>
      <w:pPr>
        <w:pStyle w:val="Heading3"/>
      </w:pPr>
      <w:r>
        <w:t xml:space="preserve">load data</w:t>
      </w:r>
    </w:p>
    <w:bookmarkEnd w:id="38"/>
    <w:bookmarkStart w:id="39" w:name="corr-sleepiness-x-fatigue-for-each-sub"/>
    <w:p>
      <w:pPr>
        <w:pStyle w:val="Heading3"/>
      </w:pPr>
      <w:r>
        <w:t xml:space="preserve">corr sleepiness x fatigue for each sub</w:t>
      </w:r>
    </w:p>
    <w:bookmarkEnd w:id="39"/>
    <w:bookmarkStart w:id="40" w:name="X8f478816a187fe3a4fdc4aff6ea5dd7a13b8a70"/>
    <w:p>
      <w:pPr>
        <w:pStyle w:val="Heading3"/>
      </w:pPr>
      <w:r>
        <w:t xml:space="preserve">sleepiness x fatigue for each run (no run corrected)</w:t>
      </w:r>
    </w:p>
    <w:bookmarkEnd w:id="40"/>
    <w:bookmarkStart w:id="41" w:name="comparison-between-lighting-orders"/>
    <w:p>
      <w:pPr>
        <w:pStyle w:val="Heading3"/>
      </w:pPr>
      <w:r>
        <w:t xml:space="preserve">comparison between lighting orders</w:t>
      </w:r>
    </w:p>
    <w:bookmarkEnd w:id="41"/>
    <w:bookmarkStart w:id="42" w:name="X3d4781a7f341accec2c334579639567164d78a1"/>
    <w:p>
      <w:pPr>
        <w:pStyle w:val="Heading3"/>
      </w:pPr>
      <w:r>
        <w:t xml:space="preserve">sleepiness x fatigue for each run (regressedout run effect)</w:t>
      </w:r>
    </w:p>
    <w:bookmarkEnd w:id="42"/>
    <w:bookmarkStart w:id="43" w:name="desription-5"/>
    <w:p>
      <w:pPr>
        <w:pStyle w:val="Heading3"/>
      </w:pPr>
      <w:r>
        <w:t xml:space="preserve">desription</w:t>
      </w:r>
    </w:p>
    <w:p>
      <w:pPr>
        <w:pStyle w:val="FirstParagraph"/>
      </w:pPr>
      <w:r>
        <w:t xml:space="preserve">To test whether the light condition affected participants’ sleepiness</w:t>
      </w:r>
      <w:r>
        <w:t xml:space="preserve"> </w:t>
      </w:r>
      <w:r>
        <w:t xml:space="preserve">and fatigue, we asked participants to rate their subjective sleepiness</w:t>
      </w:r>
      <w:r>
        <w:t xml:space="preserve"> </w:t>
      </w:r>
      <w:r>
        <w:t xml:space="preserve">and fatigue on a scale of 0-10. The fixed effects of light, run, and</w:t>
      </w:r>
      <w:r>
        <w:t xml:space="preserve"> </w:t>
      </w:r>
      <w:r>
        <w:t xml:space="preserve">their interaction model including block order are reported here; we</w:t>
      </w:r>
      <w:r>
        <w:t xml:space="preserve"> </w:t>
      </w:r>
      <w:r>
        <w:t xml:space="preserve">fitted the rating scores with light, run, and block order as</w:t>
      </w:r>
      <w:r>
        <w:t xml:space="preserve"> </w:t>
      </w:r>
      <w:r>
        <w:t xml:space="preserve">within-subject factors and subject as a between-subject factor. The</w:t>
      </w:r>
      <w:r>
        <w:t xml:space="preserve"> </w:t>
      </w:r>
      <w:r>
        <w:t xml:space="preserve">block order refers to whether the high ipRGC block or low ipRGC block</w:t>
      </w:r>
      <w:r>
        <w:t xml:space="preserve"> </w:t>
      </w:r>
      <w:r>
        <w:t xml:space="preserve">was performed in the first block. The scores were negatively affected by</w:t>
      </w:r>
      <w:r>
        <w:t xml:space="preserve"> </w:t>
      </w:r>
      <w:r>
        <w:t xml:space="preserve">the light condition, indicating that the high ipRGC light contributed to</w:t>
      </w:r>
      <w:r>
        <w:t xml:space="preserve"> </w:t>
      </w:r>
      <w:r>
        <w:t xml:space="preserve">a lower subjective score for both sleepiness and fatigue</w:t>
      </w:r>
      <w:r>
        <w:t xml:space="preserve"> </w:t>
      </w:r>
      <w:r>
        <w:t xml:space="preserve">(sleepiness:</w:t>
      </w:r>
      <w:r>
        <w:t xml:space="preserve"> </w:t>
      </w:r>
      <m:oMath>
        <m:r>
          <m:t>t</m:t>
        </m:r>
      </m:oMath>
      <w:r>
        <w:t xml:space="preserve">(25) = -2.157,</w:t>
      </w:r>
      <w:r>
        <w:t xml:space="preserve"> </w:t>
      </w:r>
      <m:oMath>
        <m:r>
          <m:t>p</m:t>
        </m:r>
      </m:oMath>
      <w:r>
        <w:t xml:space="preserve">=0.032,</w:t>
      </w:r>
      <w:r>
        <w:t xml:space="preserve"> </w:t>
      </w:r>
      <m:oMath>
        <m:sSub>
          <m:e>
            <m:r>
              <m:t>d</m:t>
            </m:r>
          </m:e>
          <m:sub>
            <m:r>
              <m:t>z</m:t>
            </m:r>
          </m:sub>
        </m:sSub>
      </m:oMath>
      <w:r>
        <w:t xml:space="preserve"> </w:t>
      </w:r>
      <w:r>
        <w:t xml:space="preserve">= 0.263;</w:t>
      </w:r>
      <w:r>
        <w:t xml:space="preserve"> </w:t>
      </w:r>
      <w:r>
        <w:t xml:space="preserve">fatigue:</w:t>
      </w:r>
      <w:r>
        <w:t xml:space="preserve"> </w:t>
      </w:r>
      <m:oMath>
        <m:r>
          <m:t>t</m:t>
        </m:r>
      </m:oMath>
      <w:r>
        <w:t xml:space="preserve">(25) = -4.602,</w:t>
      </w:r>
      <w:r>
        <w:t xml:space="preserve"> </w:t>
      </w:r>
      <m:oMath>
        <m:r>
          <m:t>p</m:t>
        </m:r>
      </m:oMath>
      <w:r>
        <w:t xml:space="preserve"> </w:t>
      </w:r>
      <w:r>
        <w:t xml:space="preserve">&lt; 0.001,</w:t>
      </w:r>
      <w:r>
        <w:t xml:space="preserve"> </w:t>
      </w:r>
      <m:oMath>
        <m:sSub>
          <m:e>
            <m:r>
              <m:t>d</m:t>
            </m:r>
          </m:e>
          <m:sub>
            <m:r>
              <m:t>z</m:t>
            </m:r>
          </m:sub>
        </m:sSub>
      </m:oMath>
      <w:r>
        <w:t xml:space="preserve"> </w:t>
      </w:r>
      <w:r>
        <w:t xml:space="preserve">= 0.562).</w:t>
      </w:r>
    </w:p>
    <w:p>
      <w:pPr>
        <w:pStyle w:val="BodyText"/>
      </w:pPr>
      <w:r>
        <w:t xml:space="preserve">To examine whether pupil size could be attributed to variations in subjective fatigue and sleepiness, we computed correlations between pupil size and these subjective ratings. As shown in Supplementary Figure S2, we observed a significant correlation between pupil size and fatigue ratings, but not with sleepiness. Additionally, we confirmed that the degree of pupil constriction under high-ipRGC light was not predictive of the individual brightness adjustment values in the brightness-matching experiment.</w:t>
      </w:r>
    </w:p>
    <w:p>
      <w:pPr>
        <w:pStyle w:val="BodyText"/>
      </w:pPr>
      <w:r>
        <w:t xml:space="preserve">We fitted the rating scores with run and participants as a random effect</w:t>
      </w:r>
      <w:r>
        <w:t xml:space="preserve"> </w:t>
      </w:r>
      <w:r>
        <w:t xml:space="preserve">using a linear mixed model, showing that the subjective sleepiness and</w:t>
      </w:r>
      <w:r>
        <w:t xml:space="preserve"> </w:t>
      </w:r>
      <w:r>
        <w:t xml:space="preserve">fatigue scores increased significantly with an increasing effect of</w:t>
      </w:r>
      <w:r>
        <w:t xml:space="preserve"> </w:t>
      </w:r>
      <w:r>
        <w:t xml:space="preserve">time-on-task</w:t>
      </w:r>
      <w:r>
        <w:t xml:space="preserve"> </w:t>
      </w:r>
      <w:r>
        <w:t xml:space="preserve">(sleepiness:</w:t>
      </w:r>
      <w:r>
        <w:t xml:space="preserve"> </w:t>
      </w:r>
      <m:oMath>
        <m:r>
          <m:t>t</m:t>
        </m:r>
      </m:oMath>
      <w:r>
        <w:t xml:space="preserve">(25) = 8.895,</w:t>
      </w:r>
      <w:r>
        <w:t xml:space="preserve"> </w:t>
      </w:r>
      <m:oMath>
        <m:r>
          <m:t>p</m:t>
        </m:r>
      </m:oMath>
      <w:r>
        <w:t xml:space="preserve"> </w:t>
      </w:r>
      <w:r>
        <w:t xml:space="preserve">&lt; 0.001,</w:t>
      </w:r>
      <w:r>
        <w:t xml:space="preserve"> </w:t>
      </w:r>
      <m:oMath>
        <m:sSub>
          <m:e>
            <m:r>
              <m:t>d</m:t>
            </m:r>
          </m:e>
          <m:sub>
            <m:r>
              <m:t>z</m:t>
            </m:r>
          </m:sub>
        </m:sSub>
      </m:oMath>
      <w:r>
        <w:t xml:space="preserve"> </w:t>
      </w:r>
      <w:r>
        <w:t xml:space="preserve">= 1.079;</w:t>
      </w:r>
      <w:r>
        <w:t xml:space="preserve"> </w:t>
      </w:r>
      <w:r>
        <w:t xml:space="preserve">fatigue:</w:t>
      </w:r>
      <w:r>
        <w:t xml:space="preserve"> </w:t>
      </w:r>
      <m:oMath>
        <m:r>
          <m:t>t</m:t>
        </m:r>
      </m:oMath>
      <w:r>
        <w:t xml:space="preserve">(25) = 8.709,</w:t>
      </w:r>
      <w:r>
        <w:t xml:space="preserve"> </w:t>
      </w:r>
      <m:oMath>
        <m:r>
          <m:t>p</m:t>
        </m:r>
      </m:oMath>
      <w:r>
        <w:t xml:space="preserve"> </w:t>
      </w:r>
      <w:r>
        <w:t xml:space="preserve">&lt; 0.001,</w:t>
      </w:r>
      <w:r>
        <w:t xml:space="preserve"> </w:t>
      </w:r>
      <m:oMath>
        <m:sSub>
          <m:e>
            <m:r>
              <m:t>d</m:t>
            </m:r>
          </m:e>
          <m:sub>
            <m:r>
              <m:t>z</m:t>
            </m:r>
          </m:sub>
        </m:sSub>
      </m:oMath>
      <w:r>
        <w:t xml:space="preserve"> </w:t>
      </w:r>
      <w:r>
        <w:t xml:space="preserve">= 1.057).</w:t>
      </w:r>
    </w:p>
    <w:p>
      <w:pPr>
        <w:pStyle w:val="BodyText"/>
      </w:pPr>
      <m:oMath>
        <m:r>
          <m:t>R</m:t>
        </m:r>
        <m:r>
          <m:t>a</m:t>
        </m:r>
        <m:r>
          <m:t>t</m:t>
        </m:r>
        <m:r>
          <m:t>i</m:t>
        </m:r>
        <m:r>
          <m:t>n</m:t>
        </m:r>
        <m:r>
          <m:t>g</m:t>
        </m:r>
        <m:r>
          <m:rPr>
            <m:sty m:val="p"/>
          </m:rPr>
          <m:t>∼</m:t>
        </m:r>
        <m:r>
          <m:t>L</m:t>
        </m:r>
        <m:r>
          <m:t>i</m:t>
        </m:r>
        <m:r>
          <m:t>g</m:t>
        </m:r>
        <m:r>
          <m:t>h</m:t>
        </m:r>
        <m:r>
          <m:t>t</m:t>
        </m:r>
        <m:r>
          <m:rPr>
            <m:sty m:val="p"/>
          </m:rPr>
          <m:t>+</m:t>
        </m:r>
        <m:r>
          <m:t>S</m:t>
        </m:r>
        <m:r>
          <m:t>e</m:t>
        </m:r>
        <m:r>
          <m:t>s</m:t>
        </m:r>
        <m:r>
          <m:t>s</m:t>
        </m:r>
        <m:r>
          <m:t>i</m:t>
        </m:r>
        <m:r>
          <m:t>o</m:t>
        </m:r>
        <m:r>
          <m:t>n</m:t>
        </m:r>
        <m:r>
          <m:rPr>
            <m:sty m:val="p"/>
          </m:rPr>
          <m:t>+</m:t>
        </m:r>
        <m:r>
          <m:t>R</m:t>
        </m:r>
        <m:r>
          <m:t>u</m:t>
        </m:r>
        <m:r>
          <m:t>n</m:t>
        </m:r>
        <m:r>
          <m:rPr>
            <m:sty m:val="p"/>
          </m:rPr>
          <m:t>+</m:t>
        </m:r>
        <m:d>
          <m:dPr>
            <m:begChr m:val="("/>
            <m:endChr m:val=")"/>
            <m:sepChr m:val=""/>
            <m:grow/>
          </m:dPr>
          <m:e>
            <m:r>
              <m:t>1</m:t>
            </m:r>
            <m:r>
              <m:rPr>
                <m:sty m:val="p"/>
              </m:rPr>
              <m:t>|</m:t>
            </m:r>
            <m:r>
              <m:t>S</m:t>
            </m:r>
            <m:r>
              <m:t>u</m:t>
            </m:r>
            <m:r>
              <m:t>b</m:t>
            </m:r>
            <m:r>
              <m:t>j</m:t>
            </m:r>
            <m:r>
              <m:t>e</m:t>
            </m:r>
            <m:r>
              <m:t>c</m:t>
            </m:r>
            <m:r>
              <m:t>t</m:t>
            </m:r>
          </m:e>
        </m:d>
      </m:oMath>
    </w:p>
    <w:p>
      <w:pPr>
        <w:pStyle w:val="BodyText"/>
      </w:pPr>
      <m:oMath>
        <m:r>
          <m:t>H</m:t>
        </m:r>
        <m:r>
          <m:t>i</m:t>
        </m:r>
        <m:r>
          <m:t>t</m:t>
        </m:r>
        <m:r>
          <m:t> </m:t>
        </m:r>
        <m:r>
          <m:t>r</m:t>
        </m:r>
        <m:r>
          <m:t>a</m:t>
        </m:r>
        <m:r>
          <m:t>t</m:t>
        </m:r>
        <m:r>
          <m:t>e</m:t>
        </m:r>
        <m:r>
          <m:rPr>
            <m:sty m:val="p"/>
          </m:rPr>
          <m:t>∼</m:t>
        </m:r>
        <m:r>
          <m:t>L</m:t>
        </m:r>
        <m:r>
          <m:t>i</m:t>
        </m:r>
        <m:r>
          <m:t>g</m:t>
        </m:r>
        <m:r>
          <m:t>h</m:t>
        </m:r>
        <m:r>
          <m:t>t</m:t>
        </m:r>
        <m:r>
          <m:rPr>
            <m:sty m:val="p"/>
          </m:rPr>
          <m:t>+</m:t>
        </m:r>
        <m:r>
          <m:t>S</m:t>
        </m:r>
        <m:r>
          <m:t>l</m:t>
        </m:r>
        <m:r>
          <m:t>e</m:t>
        </m:r>
        <m:r>
          <m:t>e</m:t>
        </m:r>
        <m:r>
          <m:t>p</m:t>
        </m:r>
        <m:r>
          <m:t>i</m:t>
        </m:r>
        <m:r>
          <m:t>n</m:t>
        </m:r>
        <m:r>
          <m:t>e</m:t>
        </m:r>
        <m:r>
          <m:t>s</m:t>
        </m:r>
        <m:r>
          <m:t>s</m:t>
        </m:r>
        <m:r>
          <m:rPr>
            <m:sty m:val="p"/>
          </m:rPr>
          <m:t>+</m:t>
        </m:r>
        <m:r>
          <m:t>F</m:t>
        </m:r>
        <m:r>
          <m:t>a</m:t>
        </m:r>
        <m:r>
          <m:t>t</m:t>
        </m:r>
        <m:r>
          <m:t>i</m:t>
        </m:r>
        <m:r>
          <m:t>g</m:t>
        </m:r>
        <m:r>
          <m:t>u</m:t>
        </m:r>
        <m:r>
          <m:t>e</m:t>
        </m:r>
        <m:r>
          <m:rPr>
            <m:sty m:val="p"/>
          </m:rPr>
          <m:t>+</m:t>
        </m:r>
        <m:d>
          <m:dPr>
            <m:begChr m:val="("/>
            <m:endChr m:val=")"/>
            <m:sepChr m:val=""/>
            <m:grow/>
          </m:dPr>
          <m:e>
            <m:r>
              <m:t>1</m:t>
            </m:r>
            <m:r>
              <m:rPr>
                <m:sty m:val="p"/>
              </m:rPr>
              <m:t>+</m:t>
            </m:r>
            <m:r>
              <m:t>R</m:t>
            </m:r>
            <m:r>
              <m:t>u</m:t>
            </m:r>
            <m:r>
              <m:t>n</m:t>
            </m:r>
            <m:r>
              <m:rPr>
                <m:sty m:val="p"/>
              </m:rPr>
              <m:t>|</m:t>
            </m:r>
            <m:r>
              <m:t>S</m:t>
            </m:r>
            <m:r>
              <m:t>u</m:t>
            </m:r>
            <m:r>
              <m:t>b</m:t>
            </m:r>
            <m:r>
              <m:t>j</m:t>
            </m:r>
            <m:r>
              <m:t>e</m:t>
            </m:r>
            <m:r>
              <m:t>c</m:t>
            </m:r>
            <m:r>
              <m:t>t</m:t>
            </m:r>
          </m:e>
        </m:d>
      </m:oMath>
    </w:p>
    <w:bookmarkEnd w:id="43"/>
    <w:bookmarkStart w:id="44" w:name="pupil-time-course-and-phasic-response"/>
    <w:p>
      <w:pPr>
        <w:pStyle w:val="Heading3"/>
      </w:pPr>
      <w:r>
        <w:t xml:space="preserve">pupil time course and phasic response</w:t>
      </w:r>
    </w:p>
    <w:bookmarkEnd w:id="44"/>
    <w:bookmarkStart w:id="45" w:name="regress-out-the-effect-of-time-on-task"/>
    <w:p>
      <w:pPr>
        <w:pStyle w:val="Heading3"/>
      </w:pPr>
      <w:r>
        <w:t xml:space="preserve">regress out the effect of time-on-task</w:t>
      </w:r>
    </w:p>
    <w:bookmarkEnd w:id="45"/>
    <w:bookmarkEnd w:id="46"/>
    <w:bookmarkStart w:id="47" w:name="phasic-pupil-response"/>
    <w:p>
      <w:pPr>
        <w:pStyle w:val="Heading2"/>
      </w:pPr>
      <w:r>
        <w:t xml:space="preserve">Phasic pupil response</w:t>
      </w:r>
    </w:p>
    <w:bookmarkEnd w:id="47"/>
    <w:bookmarkEnd w:id="48"/>
    <w:bookmarkStart w:id="54" w:name="supplementary-figure"/>
    <w:p>
      <w:pPr>
        <w:pStyle w:val="Heading1"/>
      </w:pPr>
      <w:r>
        <w:t xml:space="preserve">Supplementary Figure</w:t>
      </w:r>
    </w:p>
    <w:bookmarkStart w:id="53" w:name="table-for-hit-miss-fa-and-cr"/>
    <w:p>
      <w:pPr>
        <w:pStyle w:val="Heading2"/>
      </w:pPr>
      <w:r>
        <w:t xml:space="preserve">Table for hit, miss, FA and CR</w:t>
      </w:r>
    </w:p>
    <w:bookmarkStart w:id="49" w:name="back"/>
    <w:p>
      <w:pPr>
        <w:pStyle w:val="Heading3"/>
      </w:pPr>
      <w:r>
        <w:t xml:space="preserve">1-back</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sdt</w:t>
            </w:r>
          </w:p>
        </w:tc>
        <w:tc>
          <w:tcPr/>
          <w:p>
            <w:pPr>
              <w:pStyle w:val="Compact"/>
              <w:jc w:val="left"/>
            </w:pPr>
            <w:r>
              <w:t xml:space="preserve">low_ipRGC</w:t>
            </w:r>
          </w:p>
        </w:tc>
        <w:tc>
          <w:tcPr/>
          <w:p>
            <w:pPr>
              <w:pStyle w:val="Compact"/>
              <w:jc w:val="left"/>
            </w:pPr>
            <w:r>
              <w:t xml:space="preserve">high_ipRGC</w:t>
            </w:r>
          </w:p>
        </w:tc>
      </w:tr>
      <w:tr>
        <w:tc>
          <w:tcPr/>
          <w:p>
            <w:pPr>
              <w:pStyle w:val="Compact"/>
              <w:jc w:val="left"/>
            </w:pPr>
            <w:r>
              <w:t xml:space="preserve">hit(n.s.)</w:t>
            </w:r>
          </w:p>
        </w:tc>
        <w:tc>
          <w:tcPr/>
          <w:p>
            <w:pPr>
              <w:pStyle w:val="Compact"/>
              <w:jc w:val="left"/>
            </w:pPr>
            <w:r>
              <w:t xml:space="preserve">95.93 ± 7.254</w:t>
            </w:r>
          </w:p>
        </w:tc>
        <w:tc>
          <w:tcPr/>
          <w:p>
            <w:pPr>
              <w:pStyle w:val="Compact"/>
              <w:jc w:val="left"/>
            </w:pPr>
            <w:r>
              <w:t xml:space="preserve">96.491 ± 4.977</w:t>
            </w:r>
          </w:p>
        </w:tc>
      </w:tr>
      <w:tr>
        <w:tc>
          <w:tcPr/>
          <w:p>
            <w:pPr>
              <w:pStyle w:val="Compact"/>
              <w:jc w:val="left"/>
            </w:pPr>
            <w:r>
              <w:t xml:space="preserve">miss(n.s.)</w:t>
            </w:r>
          </w:p>
        </w:tc>
        <w:tc>
          <w:tcPr/>
          <w:p>
            <w:pPr>
              <w:pStyle w:val="Compact"/>
              <w:jc w:val="left"/>
            </w:pPr>
            <w:r>
              <w:t xml:space="preserve">0.041 ± 0.073</w:t>
            </w:r>
          </w:p>
        </w:tc>
        <w:tc>
          <w:tcPr/>
          <w:p>
            <w:pPr>
              <w:pStyle w:val="Compact"/>
              <w:jc w:val="left"/>
            </w:pPr>
            <w:r>
              <w:t xml:space="preserve">0.035 ± 0.05</w:t>
            </w:r>
          </w:p>
        </w:tc>
      </w:tr>
      <w:tr>
        <w:tc>
          <w:tcPr/>
          <w:p>
            <w:pPr>
              <w:pStyle w:val="Compact"/>
              <w:jc w:val="left"/>
            </w:pPr>
            <w:r>
              <w:t xml:space="preserve">FA(n.s.)</w:t>
            </w:r>
          </w:p>
        </w:tc>
        <w:tc>
          <w:tcPr/>
          <w:p>
            <w:pPr>
              <w:pStyle w:val="Compact"/>
              <w:jc w:val="left"/>
            </w:pPr>
            <w:r>
              <w:t xml:space="preserve">0.325 ± 0.456</w:t>
            </w:r>
          </w:p>
        </w:tc>
        <w:tc>
          <w:tcPr/>
          <w:p>
            <w:pPr>
              <w:pStyle w:val="Compact"/>
              <w:jc w:val="left"/>
            </w:pPr>
            <w:r>
              <w:t xml:space="preserve">0.366 ± 0.364</w:t>
            </w:r>
          </w:p>
        </w:tc>
      </w:tr>
      <w:tr>
        <w:tc>
          <w:tcPr/>
          <w:p>
            <w:pPr>
              <w:pStyle w:val="Compact"/>
              <w:jc w:val="left"/>
            </w:pPr>
            <w:r>
              <w:t xml:space="preserve">CR(n.s.)</w:t>
            </w:r>
          </w:p>
        </w:tc>
        <w:tc>
          <w:tcPr/>
          <w:p>
            <w:pPr>
              <w:pStyle w:val="Compact"/>
              <w:jc w:val="left"/>
            </w:pPr>
            <w:r>
              <w:t xml:space="preserve">99.675 ± 0.456</w:t>
            </w:r>
          </w:p>
        </w:tc>
        <w:tc>
          <w:tcPr/>
          <w:p>
            <w:pPr>
              <w:pStyle w:val="Compact"/>
              <w:jc w:val="left"/>
            </w:pPr>
            <w:r>
              <w:t xml:space="preserve">99.634 ± 0.364</w:t>
            </w:r>
          </w:p>
        </w:tc>
      </w:tr>
    </w:tbl>
    <w:bookmarkEnd w:id="49"/>
    <w:bookmarkStart w:id="50" w:name="back-1"/>
    <w:p>
      <w:pPr>
        <w:pStyle w:val="Heading3"/>
      </w:pPr>
      <w:r>
        <w:t xml:space="preserve">2-back</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sdt</w:t>
            </w:r>
          </w:p>
        </w:tc>
        <w:tc>
          <w:tcPr/>
          <w:p>
            <w:pPr>
              <w:pStyle w:val="Compact"/>
              <w:jc w:val="left"/>
            </w:pPr>
            <w:r>
              <w:t xml:space="preserve">low_ipRGC</w:t>
            </w:r>
          </w:p>
        </w:tc>
        <w:tc>
          <w:tcPr/>
          <w:p>
            <w:pPr>
              <w:pStyle w:val="Compact"/>
              <w:jc w:val="left"/>
            </w:pPr>
            <w:r>
              <w:t xml:space="preserve">high_ipRGC</w:t>
            </w:r>
          </w:p>
        </w:tc>
      </w:tr>
      <w:tr>
        <w:tc>
          <w:tcPr/>
          <w:p>
            <w:pPr>
              <w:pStyle w:val="Compact"/>
              <w:jc w:val="left"/>
            </w:pPr>
            <w:r>
              <w:t xml:space="preserve">hit(*)</w:t>
            </w:r>
          </w:p>
        </w:tc>
        <w:tc>
          <w:tcPr/>
          <w:p>
            <w:pPr>
              <w:pStyle w:val="Compact"/>
              <w:jc w:val="left"/>
            </w:pPr>
            <w:r>
              <w:t xml:space="preserve">88.761 ± 6.381</w:t>
            </w:r>
          </w:p>
        </w:tc>
        <w:tc>
          <w:tcPr/>
          <w:p>
            <w:pPr>
              <w:pStyle w:val="Compact"/>
              <w:jc w:val="left"/>
            </w:pPr>
            <w:r>
              <w:t xml:space="preserve">91.718 ± 4.996</w:t>
            </w:r>
          </w:p>
        </w:tc>
      </w:tr>
      <w:tr>
        <w:tc>
          <w:tcPr/>
          <w:p>
            <w:pPr>
              <w:pStyle w:val="Compact"/>
              <w:jc w:val="left"/>
            </w:pPr>
            <w:r>
              <w:t xml:space="preserve">miss(*)</w:t>
            </w:r>
          </w:p>
        </w:tc>
        <w:tc>
          <w:tcPr/>
          <w:p>
            <w:pPr>
              <w:pStyle w:val="Compact"/>
              <w:jc w:val="left"/>
            </w:pPr>
            <w:r>
              <w:t xml:space="preserve">0.112 ± 0.064</w:t>
            </w:r>
          </w:p>
        </w:tc>
        <w:tc>
          <w:tcPr/>
          <w:p>
            <w:pPr>
              <w:pStyle w:val="Compact"/>
              <w:jc w:val="left"/>
            </w:pPr>
            <w:r>
              <w:t xml:space="preserve">0.083 ± 0.05</w:t>
            </w:r>
          </w:p>
        </w:tc>
      </w:tr>
      <w:tr>
        <w:tc>
          <w:tcPr/>
          <w:p>
            <w:pPr>
              <w:pStyle w:val="Compact"/>
              <w:jc w:val="left"/>
            </w:pPr>
            <w:r>
              <w:t xml:space="preserve">FA(+)</w:t>
            </w:r>
          </w:p>
        </w:tc>
        <w:tc>
          <w:tcPr/>
          <w:p>
            <w:pPr>
              <w:pStyle w:val="Compact"/>
              <w:jc w:val="left"/>
            </w:pPr>
            <w:r>
              <w:t xml:space="preserve">1.875 ± 1.403</w:t>
            </w:r>
          </w:p>
        </w:tc>
        <w:tc>
          <w:tcPr/>
          <w:p>
            <w:pPr>
              <w:pStyle w:val="Compact"/>
              <w:jc w:val="left"/>
            </w:pPr>
            <w:r>
              <w:t xml:space="preserve">1.373 ± 0.828</w:t>
            </w:r>
          </w:p>
        </w:tc>
      </w:tr>
      <w:tr>
        <w:tc>
          <w:tcPr/>
          <w:p>
            <w:pPr>
              <w:pStyle w:val="Compact"/>
              <w:jc w:val="left"/>
            </w:pPr>
            <w:r>
              <w:t xml:space="preserve">CR(+)</w:t>
            </w:r>
          </w:p>
        </w:tc>
        <w:tc>
          <w:tcPr/>
          <w:p>
            <w:pPr>
              <w:pStyle w:val="Compact"/>
              <w:jc w:val="left"/>
            </w:pPr>
            <w:r>
              <w:t xml:space="preserve">98.125 ± 1.403</w:t>
            </w:r>
          </w:p>
        </w:tc>
        <w:tc>
          <w:tcPr/>
          <w:p>
            <w:pPr>
              <w:pStyle w:val="Compact"/>
              <w:jc w:val="left"/>
            </w:pPr>
            <w:r>
              <w:t xml:space="preserve">98.627 ± 0.828</w:t>
            </w:r>
          </w:p>
        </w:tc>
      </w:tr>
    </w:tbl>
    <w:bookmarkEnd w:id="50"/>
    <w:bookmarkStart w:id="51" w:name="corr-pupil-x-sleepinessfatigue"/>
    <w:p>
      <w:pPr>
        <w:pStyle w:val="Heading3"/>
      </w:pPr>
      <w:r>
        <w:t xml:space="preserve">corr Pupil x (sleepiness,fatigue)</w:t>
      </w:r>
    </w:p>
    <w:bookmarkEnd w:id="51"/>
    <w:bookmarkStart w:id="52" w:name="description"/>
    <w:p>
      <w:pPr>
        <w:pStyle w:val="Heading3"/>
      </w:pPr>
      <w:r>
        <w:t xml:space="preserve">description</w:t>
      </w:r>
    </w:p>
    <w:p>
      <w:pPr>
        <w:pStyle w:val="FirstParagraph"/>
      </w:pPr>
      <w:r>
        <w:t xml:space="preserve">To examine whether pupil size could be attributed to variations in subjective fatigue and sleepiness, we computed correlations between pupil size and these subjective ratings. A linear mixed-effects model was used, with pupil size as within-subject factors and subject as a between-subject factor, following the equation: Rating∼pupil size+(1|Subject). We found the fatigue ratings, but not sleepiness ratings, were significantly correlated with pupil size</w:t>
      </w:r>
      <w:r>
        <w:t xml:space="preserve"> </w:t>
      </w:r>
      <w:r>
        <w:t xml:space="preserve">(fatigue:</w:t>
      </w:r>
      <w:r>
        <w:t xml:space="preserve"> </w:t>
      </w:r>
      <m:oMath>
        <m:r>
          <m:t>t</m:t>
        </m:r>
      </m:oMath>
      <w:r>
        <w:t xml:space="preserve">(25) = 3.03,</w:t>
      </w:r>
      <w:r>
        <w:t xml:space="preserve"> </w:t>
      </w:r>
      <m:oMath>
        <m:r>
          <m:t>p</m:t>
        </m:r>
      </m:oMath>
      <w:r>
        <w:t xml:space="preserve">=0.003,</w:t>
      </w:r>
      <w:r>
        <w:t xml:space="preserve"> </w:t>
      </w:r>
      <m:oMath>
        <m:sSub>
          <m:e>
            <m:r>
              <m:t>d</m:t>
            </m:r>
          </m:e>
          <m:sub>
            <m:r>
              <m:t>z</m:t>
            </m:r>
          </m:sub>
        </m:sSub>
      </m:oMath>
      <w:r>
        <w:t xml:space="preserve"> </w:t>
      </w:r>
      <w:r>
        <w:t xml:space="preserve">= 0.248; sleepiness:</w:t>
      </w:r>
      <w:r>
        <w:t xml:space="preserve"> </w:t>
      </w:r>
      <m:oMath>
        <m:r>
          <m:t>t</m:t>
        </m:r>
      </m:oMath>
      <w:r>
        <w:t xml:space="preserve">(25) = 0.142,</w:t>
      </w:r>
      <w:r>
        <w:t xml:space="preserve"> </w:t>
      </w:r>
      <m:oMath>
        <m:r>
          <m:t>p</m:t>
        </m:r>
      </m:oMath>
      <w:r>
        <w:t xml:space="preserve">=0.887,</w:t>
      </w:r>
      <w:r>
        <w:t xml:space="preserve"> </w:t>
      </w:r>
      <m:oMath>
        <m:sSub>
          <m:e>
            <m:r>
              <m:t>d</m:t>
            </m:r>
          </m:e>
          <m:sub>
            <m:r>
              <m:t>z</m:t>
            </m:r>
          </m:sub>
        </m:sSub>
      </m:oMath>
      <w:r>
        <w:t xml:space="preserve"> </w:t>
      </w:r>
      <w:r>
        <w:t xml:space="preserve">= 0.012).</w:t>
      </w:r>
    </w:p>
    <w:p>
      <w:pPr>
        <w:pStyle w:val="BodyText"/>
      </w:pPr>
      <w:r>
        <w:t xml:space="preserve">In addition, brightness adjustment values (i.e., how much brighter the high-ipRGC light appeared) ) could not be explained by pupil size</w:t>
      </w:r>
      <w:r>
        <w:t xml:space="preserve"> </w:t>
      </w:r>
      <w:r>
        <w:t xml:space="preserve">(</w:t>
      </w:r>
      <m:oMath>
        <m:r>
          <m:t>t</m:t>
        </m:r>
      </m:oMath>
      <w:r>
        <w:t xml:space="preserve">(25) = -0.19,</w:t>
      </w:r>
      <w:r>
        <w:t xml:space="preserve"> </w:t>
      </w:r>
      <m:oMath>
        <m:r>
          <m:t>p</m:t>
        </m:r>
      </m:oMath>
      <w:r>
        <w:t xml:space="preserve">=0.851,</w:t>
      </w:r>
      <w:r>
        <w:t xml:space="preserve"> </w:t>
      </w:r>
      <m:oMath>
        <m:sSub>
          <m:e>
            <m:r>
              <m:t>d</m:t>
            </m:r>
          </m:e>
          <m:sub>
            <m:r>
              <m:t>z</m:t>
            </m:r>
          </m:sub>
        </m:sSub>
      </m:oMath>
      <w:r>
        <w:t xml:space="preserve"> </w:t>
      </w:r>
      <w:r>
        <w:t xml:space="preserve">= 0.076).</w:t>
      </w:r>
      <w:r>
        <w:t xml:space="preserve"> </w:t>
      </w:r>
      <w:r>
        <w:t xml:space="preserve">One possible interpretation is that distinct ipRGC subtypes contribute to different functional outcomes[1,2]. For example, M1-type ipRGCs, which primarily project to non-image-forming targets such as the SCN and OPN, may be more directly involved in pupil size. In contrast, non-M1 subtypes are known to project to image-forming regions such as the LGN and are implicated in visuocognitive processing such as brightness enhancement.</w:t>
      </w:r>
    </w:p>
    <w:bookmarkEnd w:id="52"/>
    <w:bookmarkEnd w:id="53"/>
    <w:bookmarkEnd w:id="54"/>
    <w:bookmarkStart w:id="58" w:name="path-analysis"/>
    <w:p>
      <w:pPr>
        <w:pStyle w:val="Heading1"/>
      </w:pPr>
      <w:r>
        <w:t xml:space="preserve">Path analysis</w:t>
      </w:r>
    </w:p>
    <w:bookmarkStart w:id="55" w:name="desription-6"/>
    <w:p>
      <w:pPr>
        <w:pStyle w:val="Heading3"/>
      </w:pPr>
      <w:r>
        <w:t xml:space="preserve">desription</w:t>
      </w:r>
    </w:p>
    <w:p>
      <w:pPr>
        <w:pStyle w:val="FirstParagraph"/>
      </w:pPr>
      <w:r>
        <w:t xml:space="preserve">Using the coefficient of the model, we regressed out the time-on-task</w:t>
      </w:r>
      <w:r>
        <w:t xml:space="preserve"> </w:t>
      </w:r>
      <w:r>
        <w:t xml:space="preserve">effect from the rating scores as shown in Figure 3A. To determine how</w:t>
      </w:r>
      <w:r>
        <w:t xml:space="preserve"> </w:t>
      </w:r>
      <w:r>
        <w:t xml:space="preserve">the light condition, the hit rate, sleepiness, and fatigue affected each</w:t>
      </w:r>
      <w:r>
        <w:t xml:space="preserve"> </w:t>
      </w:r>
      <w:r>
        <w:t xml:space="preserve">other, we performed a mediation analysis as shown in Figure 3B. We found</w:t>
      </w:r>
      <w:r>
        <w:t xml:space="preserve"> </w:t>
      </w:r>
      <w:r>
        <w:t xml:space="preserve">the light condition significantly affected hit rate, sleepiness, and</w:t>
      </w:r>
      <w:r>
        <w:t xml:space="preserve"> </w:t>
      </w:r>
      <w:r>
        <w:t xml:space="preserve">fatigue</w:t>
      </w:r>
      <w:r>
        <w:t xml:space="preserve"> </w:t>
      </w:r>
      <w:r>
        <w:t xml:space="preserve">(hit rate:</w:t>
      </w:r>
      <m:oMath>
        <m:r>
          <m:t>β</m:t>
        </m:r>
      </m:oMath>
      <w:r>
        <w:t xml:space="preserve"> </w:t>
      </w:r>
      <w:r>
        <w:t xml:space="preserve">= 0.083,</w:t>
      </w:r>
      <w:r>
        <w:t xml:space="preserve"> </w:t>
      </w:r>
      <m:oMath>
        <m:r>
          <m:t>p</m:t>
        </m:r>
      </m:oMath>
      <w:r>
        <w:t xml:space="preserve"> </w:t>
      </w:r>
      <w:r>
        <w:t xml:space="preserve">= 0.044,</w:t>
      </w:r>
      <w:r>
        <w:t xml:space="preserve"> </w:t>
      </w:r>
      <m:oMath>
        <m:sSub>
          <m:e>
            <m:r>
              <m:t>d</m:t>
            </m:r>
          </m:e>
          <m:sub>
            <m:r>
              <m:t>z</m:t>
            </m:r>
          </m:sub>
        </m:sSub>
      </m:oMath>
      <w:r>
        <w:t xml:space="preserve"> </w:t>
      </w:r>
      <w:r>
        <w:t xml:space="preserve">= 0.165;</w:t>
      </w:r>
      <w:r>
        <w:t xml:space="preserve"> </w:t>
      </w:r>
      <w:r>
        <w:t xml:space="preserve">sleepiness:</w:t>
      </w:r>
      <w:r>
        <w:t xml:space="preserve"> </w:t>
      </w:r>
      <m:oMath>
        <m:r>
          <m:t>β</m:t>
        </m:r>
      </m:oMath>
      <w:r>
        <w:t xml:space="preserve"> </w:t>
      </w:r>
      <w:r>
        <w:t xml:space="preserve">= -0.089,</w:t>
      </w:r>
      <w:r>
        <w:t xml:space="preserve"> </w:t>
      </w:r>
      <m:oMath>
        <m:r>
          <m:t>p</m:t>
        </m:r>
      </m:oMath>
      <w:r>
        <w:t xml:space="preserve"> </w:t>
      </w:r>
      <w:r>
        <w:t xml:space="preserve">= 0.029,</w:t>
      </w:r>
      <w:r>
        <w:t xml:space="preserve"> </w:t>
      </w:r>
      <m:oMath>
        <m:sSub>
          <m:e>
            <m:r>
              <m:t>d</m:t>
            </m:r>
          </m:e>
          <m:sub>
            <m:r>
              <m:t>z</m:t>
            </m:r>
          </m:sub>
        </m:sSub>
      </m:oMath>
      <w:r>
        <w:t xml:space="preserve"> </w:t>
      </w:r>
      <w:r>
        <w:t xml:space="preserve">= 0.179;</w:t>
      </w:r>
      <w:r>
        <w:t xml:space="preserve"> </w:t>
      </w:r>
      <w:r>
        <w:t xml:space="preserve">fatigue:</w:t>
      </w:r>
      <w:r>
        <w:t xml:space="preserve"> </w:t>
      </w:r>
      <m:oMath>
        <m:r>
          <m:t>β</m:t>
        </m:r>
      </m:oMath>
      <w:r>
        <w:t xml:space="preserve"> </w:t>
      </w:r>
      <w:r>
        <w:t xml:space="preserve">= -0.156,</w:t>
      </w:r>
      <w:r>
        <w:t xml:space="preserve"> </w:t>
      </w:r>
      <m:oMath>
        <m:r>
          <m:t>p</m:t>
        </m:r>
      </m:oMath>
      <w:r>
        <w:t xml:space="preserve"> </w:t>
      </w:r>
      <w:r>
        <w:t xml:space="preserve">= 0,</w:t>
      </w:r>
      <w:r>
        <w:t xml:space="preserve"> </w:t>
      </w:r>
      <m:oMath>
        <m:sSub>
          <m:e>
            <m:r>
              <m:t>d</m:t>
            </m:r>
          </m:e>
          <m:sub>
            <m:r>
              <m:t>z</m:t>
            </m:r>
          </m:sub>
        </m:sSub>
      </m:oMath>
      <w:r>
        <w:t xml:space="preserve"> </w:t>
      </w:r>
      <w:r>
        <w:t xml:space="preserve">= 0.316).</w:t>
      </w:r>
      <w:r>
        <w:t xml:space="preserve"> </w:t>
      </w:r>
      <w:r>
        <w:t xml:space="preserve">Although sleepiness negatively affected the hit rate with a weak effect (i.e., lower sleepiness improved the hit rate), we did not find strong evidence that the sleepiness and fatigue rating can explain the hit rate</w:t>
      </w:r>
      <w:r>
        <w:t xml:space="preserve"> </w:t>
      </w:r>
      <w:r>
        <w:t xml:space="preserve">(sleepiness:</w:t>
      </w:r>
      <w:r>
        <w:t xml:space="preserve"> </w:t>
      </w:r>
      <m:oMath>
        <m:r>
          <m:t>β</m:t>
        </m:r>
      </m:oMath>
      <w:r>
        <w:t xml:space="preserve"> </w:t>
      </w:r>
      <w:r>
        <w:t xml:space="preserve">= -0.077,</w:t>
      </w:r>
      <w:r>
        <w:t xml:space="preserve"> </w:t>
      </w:r>
      <m:oMath>
        <m:r>
          <m:t>p</m:t>
        </m:r>
      </m:oMath>
      <w:r>
        <w:t xml:space="preserve"> </w:t>
      </w:r>
      <w:r>
        <w:t xml:space="preserve">= 0.075,</w:t>
      </w:r>
      <w:r>
        <w:t xml:space="preserve"> </w:t>
      </w:r>
      <m:oMath>
        <m:sSub>
          <m:e>
            <m:r>
              <m:t>d</m:t>
            </m:r>
          </m:e>
          <m:sub>
            <m:r>
              <m:t>z</m:t>
            </m:r>
          </m:sub>
        </m:sSub>
      </m:oMath>
      <w:r>
        <w:t xml:space="preserve"> </w:t>
      </w:r>
      <w:r>
        <w:t xml:space="preserve">= 0.145;</w:t>
      </w:r>
      <w:r>
        <w:t xml:space="preserve"> </w:t>
      </w:r>
      <w:r>
        <w:t xml:space="preserve">fatigue:</w:t>
      </w:r>
      <w:r>
        <w:t xml:space="preserve"> </w:t>
      </w:r>
      <m:oMath>
        <m:r>
          <m:t>β</m:t>
        </m:r>
      </m:oMath>
      <w:r>
        <w:t xml:space="preserve"> </w:t>
      </w:r>
      <w:r>
        <w:t xml:space="preserve">= 0.049,</w:t>
      </w:r>
      <w:r>
        <w:t xml:space="preserve"> </w:t>
      </w:r>
      <m:oMath>
        <m:r>
          <m:t>p</m:t>
        </m:r>
      </m:oMath>
      <w:r>
        <w:t xml:space="preserve"> </w:t>
      </w:r>
      <w:r>
        <w:t xml:space="preserve">= 0.266,</w:t>
      </w:r>
      <w:r>
        <w:t xml:space="preserve"> </w:t>
      </w:r>
      <m:oMath>
        <m:sSub>
          <m:e>
            <m:r>
              <m:t>d</m:t>
            </m:r>
          </m:e>
          <m:sub>
            <m:r>
              <m:t>z</m:t>
            </m:r>
          </m:sub>
        </m:sSub>
      </m:oMath>
      <w:r>
        <w:t xml:space="preserve"> </w:t>
      </w:r>
      <w:r>
        <w:t xml:space="preserve">= 0.091</w:t>
      </w:r>
      <w:r>
        <w:t xml:space="preserve"> </w:t>
      </w:r>
      <w:r>
        <w:t xml:space="preserve">)</w:t>
      </w:r>
    </w:p>
    <w:bookmarkEnd w:id="55"/>
    <w:bookmarkStart w:id="57" w:name="plot-model-sleepiness-and-fatigue"/>
    <w:p>
      <w:pPr>
        <w:pStyle w:val="Heading2"/>
      </w:pPr>
      <w:r>
        <w:t xml:space="preserve">plot model sleepiness and fatigue</w:t>
      </w:r>
    </w:p>
    <w:bookmarkStart w:id="56" w:name="corr"/>
    <w:p>
      <w:pPr>
        <w:pStyle w:val="Heading3"/>
      </w:pPr>
      <w:r>
        <w:t xml:space="preserve">corr</w:t>
      </w:r>
    </w:p>
    <w:bookmarkEnd w:id="56"/>
    <w:bookmarkEnd w:id="57"/>
    <w:bookmarkEnd w:id="58"/>
    <w:bookmarkStart w:id="59" w:name="figure"/>
    <w:p>
      <w:pPr>
        <w:pStyle w:val="Heading1"/>
      </w:pPr>
      <w:r>
        <w:t xml:space="preserve">Figure</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note for N-back ipRGC study</dc:title>
  <dc:creator>Yuta Suzuki, Shigeki Nakauchi, Hsin-I Liao</dc:creator>
  <cp:keywords/>
  <dcterms:created xsi:type="dcterms:W3CDTF">2025-07-10T00:04:37Z</dcterms:created>
  <dcterms:modified xsi:type="dcterms:W3CDTF">2025-07-10T00:04:37Z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July, 2025</vt:lpwstr>
  </property>
  <property fmtid="{D5CDD505-2E9C-101B-9397-08002B2CF9AE}" pid="3" name="editor_options">
    <vt:lpwstr/>
  </property>
  <property fmtid="{D5CDD505-2E9C-101B-9397-08002B2CF9AE}" pid="4" name="output">
    <vt:lpwstr/>
  </property>
  <property fmtid="{D5CDD505-2E9C-101B-9397-08002B2CF9AE}" pid="5" name="params">
    <vt:lpwstr/>
  </property>
</Properties>
</file>