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left"/>
      </w:pPr>
      <w:r>
        <w:rPr>
          <w:rFonts w:ascii="Arial" w:cs="Arial" w:eastAsia="Arial" w:hAnsi="Arial"/>
          <w:b/>
          <w:bCs/>
          <w:color w:val="185FA5"/>
          <w:sz w:val="64"/>
          <w:szCs w:val="64"/>
        </w:rPr>
        <w:t xml:space="preserve">AEGIS WAF</w:t>
      </w:r>
    </w:p>
    <w:p>
      <w:pPr>
        <w:spacing w:before="0" w:after="80"/>
        <w:jc w:val="left"/>
      </w:pPr>
      <w:r>
        <w:rPr>
          <w:rFonts w:ascii="Arial" w:cs="Arial" w:eastAsia="Arial" w:hAnsi="Arial"/>
          <w:color w:val="5F5E5A"/>
          <w:sz w:val="32"/>
          <w:szCs w:val="32"/>
        </w:rPr>
        <w:t xml:space="preserve">Referencia de Reglas de Seguridad</w:t>
      </w:r>
    </w:p>
    <w:p>
      <w:pPr>
        <w:spacing w:before="0" w:after="600"/>
        <w:jc w:val="left"/>
      </w:pPr>
      <w:r>
        <w:rPr>
          <w:rFonts w:ascii="Arial" w:cs="Arial" w:eastAsia="Arial" w:hAnsi="Arial"/>
          <w:color w:val="9198A1"/>
          <w:sz w:val="20"/>
          <w:szCs w:val="20"/>
        </w:rPr>
        <w:t xml:space="preserve">Catálogo completo · v2.1.0 · 22 de marzo de 2026</w:t>
      </w:r>
    </w:p>
    <w:p>
      <w:pPr>
        <w:pBdr>
          <w:bottom w:val="single" w:color="185FA5" w:sz="6" w:space="1"/>
        </w:pBdr>
        <w:spacing w:before="0" w:after="400"/>
      </w:pPr>
      <w:r>
        <w:t xml:space="preserve"/>
      </w:r>
    </w:p>
    <w:p>
      <w:pPr>
        <w:pStyle w:val="Heading1"/>
        <w:spacing w:before="240" w:after="120"/>
      </w:pPr>
      <w:r>
        <w:rPr>
          <w:rFonts w:ascii="Arial" w:cs="Arial" w:eastAsia="Arial" w:hAnsi="Arial"/>
          <w:b/>
          <w:bCs/>
          <w:color w:val="185FA5"/>
          <w:sz w:val="28"/>
          <w:szCs w:val="28"/>
        </w:rPr>
        <w:t xml:space="preserve">1. Cómo leer este documento</w:t>
      </w:r>
    </w:p>
    <w:p>
      <w:pPr>
        <w:spacing w:before="60" w:after="80"/>
      </w:pPr>
      <w:r>
        <w:rPr>
          <w:rFonts w:ascii="Arial" w:cs="Arial" w:eastAsia="Arial" w:hAnsi="Arial"/>
          <w:color w:val="444441"/>
          <w:sz w:val="20"/>
          <w:szCs w:val="20"/>
        </w:rPr>
        <w:t xml:space="preserve">Cada regla que aparece en el campo </w:t>
      </w:r>
      <w:r>
        <w:rPr>
          <w:rFonts w:ascii="Courier New" w:cs="Courier New" w:eastAsia="Courier New" w:hAnsi="Courier New"/>
          <w:b/>
          <w:bCs/>
          <w:color w:val="185FA5"/>
          <w:sz w:val="20"/>
          <w:szCs w:val="20"/>
        </w:rPr>
        <w:t xml:space="preserve">reason</w:t>
      </w:r>
      <w:r>
        <w:rPr>
          <w:rFonts w:ascii="Arial" w:cs="Arial" w:eastAsia="Arial" w:hAnsi="Arial"/>
          <w:color w:val="444441"/>
          <w:sz w:val="20"/>
          <w:szCs w:val="20"/>
        </w:rPr>
        <w:t xml:space="preserve"> de la tabla </w:t>
      </w:r>
      <w:r>
        <w:rPr>
          <w:rFonts w:ascii="Courier New" w:cs="Courier New" w:eastAsia="Courier New" w:hAnsi="Courier New"/>
          <w:color w:val="185FA5"/>
          <w:sz w:val="20"/>
          <w:szCs w:val="20"/>
        </w:rPr>
        <w:t xml:space="preserve">waf_blocked_ips_szm</w:t>
      </w:r>
      <w:r>
        <w:rPr>
          <w:rFonts w:ascii="Arial" w:cs="Arial" w:eastAsia="Arial" w:hAnsi="Arial"/>
          <w:color w:val="444441"/>
          <w:sz w:val="20"/>
          <w:szCs w:val="20"/>
        </w:rPr>
        <w:t xml:space="preserve">, o en el campo </w:t>
      </w:r>
      <w:r>
        <w:rPr>
          <w:rFonts w:ascii="Courier New" w:cs="Courier New" w:eastAsia="Courier New" w:hAnsi="Courier New"/>
          <w:color w:val="185FA5"/>
          <w:sz w:val="20"/>
          <w:szCs w:val="20"/>
        </w:rPr>
        <w:t xml:space="preserve">rule_triggered</w:t>
      </w:r>
      <w:r>
        <w:rPr>
          <w:rFonts w:ascii="Arial" w:cs="Arial" w:eastAsia="Arial" w:hAnsi="Arial"/>
          <w:color w:val="444441"/>
          <w:sz w:val="20"/>
          <w:szCs w:val="20"/>
        </w:rPr>
        <w:t xml:space="preserve"> de </w:t>
      </w:r>
      <w:r>
        <w:rPr>
          <w:rFonts w:ascii="Courier New" w:cs="Courier New" w:eastAsia="Courier New" w:hAnsi="Courier New"/>
          <w:color w:val="185FA5"/>
          <w:sz w:val="20"/>
          <w:szCs w:val="20"/>
        </w:rPr>
        <w:t xml:space="preserve">waf_attack_logs_szm</w:t>
      </w:r>
      <w:r>
        <w:rPr>
          <w:rFonts w:ascii="Arial" w:cs="Arial" w:eastAsia="Arial" w:hAnsi="Arial"/>
          <w:color w:val="444441"/>
          <w:sz w:val="20"/>
          <w:szCs w:val="20"/>
        </w:rPr>
        <w:t xml:space="preserve">, tiene su definición completa en este catálogo.</w:t>
      </w:r>
    </w:p>
    <w:p>
      <w:pPr>
        <w:pStyle w:val="Heading2"/>
        <w:spacing w:before="200" w:after="100"/>
      </w:pPr>
      <w:r>
        <w:rPr>
          <w:rFonts w:ascii="Arial" w:cs="Arial" w:eastAsia="Arial" w:hAnsi="Arial"/>
          <w:b/>
          <w:bCs/>
          <w:color w:val="444441"/>
          <w:sz w:val="24"/>
          <w:szCs w:val="24"/>
        </w:rPr>
        <w:t xml:space="preserve">1.1 Sistema de puntuación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A32D2D"/>
                <w:sz w:val="18"/>
                <w:szCs w:val="18"/>
              </w:rPr>
              <w:t xml:space="preserve">Ban inmediato</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Courier New" w:cs="Courier New" w:eastAsia="Courier New" w:hAnsi="Courier New"/>
                <w:b/>
                <w:bCs/>
                <w:color w:val="A32D2D"/>
                <w:sz w:val="18"/>
                <w:szCs w:val="18"/>
              </w:rPr>
              <w:t xml:space="preserve">+20</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444441"/>
                <w:sz w:val="18"/>
                <w:szCs w:val="18"/>
              </w:rPr>
              <w:t xml:space="preserve">Bloqueo automático al instante. Un solo evento basta para alcanzar el umbral.</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854F0B"/>
                <w:sz w:val="18"/>
                <w:szCs w:val="18"/>
              </w:rPr>
              <w:t xml:space="preserve">Riesgo alto</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Courier New" w:cs="Courier New" w:eastAsia="Courier New" w:hAnsi="Courier New"/>
                <w:b/>
                <w:bCs/>
                <w:color w:val="854F0B"/>
                <w:sz w:val="18"/>
                <w:szCs w:val="18"/>
              </w:rPr>
              <w:t xml:space="preserve">+8 a +15</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444441"/>
                <w:sz w:val="18"/>
                <w:szCs w:val="18"/>
              </w:rPr>
              <w:t xml:space="preserve">Suma rápida de puntos. 2-3 eventos de este tipo alcanzan el umbral sin señales adicionales.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85FA5"/>
                <w:sz w:val="18"/>
                <w:szCs w:val="18"/>
              </w:rPr>
              <w:t xml:space="preserve">Riesgo medio</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Courier New" w:cs="Courier New" w:eastAsia="Courier New" w:hAnsi="Courier New"/>
                <w:b/>
                <w:bCs/>
                <w:color w:val="185FA5"/>
                <w:sz w:val="18"/>
                <w:szCs w:val="18"/>
              </w:rPr>
              <w:t xml:space="preserve">+4 a +7</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444441"/>
                <w:sz w:val="18"/>
                <w:szCs w:val="18"/>
              </w:rPr>
              <w:t xml:space="preserve">Requiere combinación de varias señales para llegar al umbral de 20 puntos.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3B6D11"/>
                <w:sz w:val="18"/>
                <w:szCs w:val="18"/>
              </w:rPr>
              <w:t xml:space="preserve">Riesgo bajo</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Courier New" w:cs="Courier New" w:eastAsia="Courier New" w:hAnsi="Courier New"/>
                <w:b/>
                <w:bCs/>
                <w:color w:val="3B6D11"/>
                <w:sz w:val="18"/>
                <w:szCs w:val="18"/>
              </w:rPr>
              <w:t xml:space="preserve">+3 a +5</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444441"/>
                <w:sz w:val="18"/>
                <w:szCs w:val="18"/>
              </w:rPr>
              <w:t xml:space="preserve">Señales de sospecha leve. Por sí solas no banean; funcionan como evidencia acumulada.</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A32D2D"/>
                <w:sz w:val="18"/>
                <w:szCs w:val="18"/>
              </w:rPr>
              <w:t xml:space="preserve">Umbral de baneo</w:t>
            </w:r>
          </w:p>
        </w:tc>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Courier New" w:cs="Courier New" w:eastAsia="Courier New" w:hAnsi="Courier New"/>
                <w:b/>
                <w:bCs/>
                <w:color w:val="A32D2D"/>
                <w:sz w:val="18"/>
                <w:szCs w:val="18"/>
              </w:rPr>
              <w:t xml:space="preserve">20 pts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444441"/>
                <w:sz w:val="18"/>
                <w:szCs w:val="18"/>
              </w:rPr>
              <w:t xml:space="preserve">Cuando la IP acumula 20 puntos, se activa el ban automático de 24 horas (configurable en WafConfig::BAN_DURATION_HOURS).</w:t>
            </w:r>
          </w:p>
        </w:tc>
      </w:tr>
    </w:tbl>
    <w:p>
      <w:pPr>
        <w:spacing w:before="160" w:after="0"/>
      </w:pPr>
      <w:r>
        <w:t xml:space="preserve"/>
      </w:r>
    </w:p>
    <w:p>
      <w:pPr>
        <w:pStyle w:val="Heading1"/>
        <w:spacing w:before="200" w:after="80"/>
      </w:pPr>
      <w:r>
        <w:rPr>
          <w:rFonts w:ascii="Arial" w:cs="Arial" w:eastAsia="Arial" w:hAnsi="Arial"/>
          <w:b/>
          <w:bCs/>
          <w:color w:val="444441"/>
          <w:sz w:val="28"/>
          <w:szCs w:val="28"/>
        </w:rPr>
        <w:t xml:space="preserve">2. Estructural</w:t>
      </w:r>
    </w:p>
    <w:p>
      <w:pPr>
        <w:spacing w:before="0" w:after="140"/>
      </w:pPr>
      <w:r>
        <w:rPr>
          <w:rFonts w:ascii="Arial" w:cs="Arial" w:eastAsia="Arial" w:hAnsi="Arial"/>
          <w:color w:val="9198A1"/>
          <w:sz w:val="19"/>
          <w:szCs w:val="19"/>
        </w:rPr>
        <w:t xml:space="preserve">6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444441"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444441"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444441"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444441"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444441"/>
                <w:sz w:val="17"/>
                <w:szCs w:val="17"/>
              </w:rPr>
              <w:t xml:space="preserve">missing_browser_headers</w:t>
            </w:r>
          </w:p>
          <w:p>
            <w:pPr>
              <w:spacing w:before="30" w:after="0"/>
            </w:pPr>
            <w:r>
              <w:rPr>
                <w:rFonts w:ascii="Courier New" w:cs="Courier New" w:eastAsia="Courier New" w:hAnsi="Courier New"/>
                <w:b w:val="false"/>
                <w:bCs w:val="false"/>
                <w:color w:val="9198A1"/>
                <w:sz w:val="14"/>
                <w:szCs w:val="14"/>
              </w:rPr>
              <w:t xml:space="preserve">analyzeClientReputation() · analyzeRequestStructure()</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Faltan 2 o más de los 3 headers que todo navegador real envía: Accept, Accept-Language, Accept-Encoding. Herramientas como curl o scripts no los incluyen por defecto.</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pPr>
              <w:spacing w:before="0" w:after="0"/>
            </w:pPr>
            <w:r>
              <w:rPr>
                <w:rFonts w:ascii="Courier New" w:cs="Courier New" w:eastAsia="Courier New" w:hAnsi="Courier New"/>
                <w:b/>
                <w:bCs/>
                <w:color w:val="444441"/>
                <w:sz w:val="17"/>
                <w:szCs w:val="17"/>
              </w:rPr>
              <w:t xml:space="preserve">bare_accept_header</w:t>
            </w:r>
          </w:p>
          <w:p>
            <w:pPr>
              <w:spacing w:before="30" w:after="0"/>
            </w:pPr>
            <w:r>
              <w:rPr>
                <w:rFonts w:ascii="Courier New" w:cs="Courier New" w:eastAsia="Courier New" w:hAnsi="Courier New"/>
                <w:b w:val="false"/>
                <w:bCs w:val="false"/>
                <w:color w:val="9198A1"/>
                <w:sz w:val="14"/>
                <w:szCs w:val="14"/>
              </w:rPr>
              <w:t xml:space="preserve">analyzeRequestStructure() — señal 2</w:t>
            </w:r>
          </w:p>
        </w:tc>
        <w:tc>
          <w:tcPr>
            <w:tcW w:type="dxa" w:w="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+4</w:t>
            </w:r>
          </w:p>
        </w:tc>
        <w:tc>
          <w:tcPr>
            <w:tcW w:type="dxa" w:w="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header Accept vale "*/*" o tiene menos de 10 caracteres. Los navegadores reales envían listas largas de tipos MIME. Un valor mínimo indica herramienta automatizada.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444441"/>
                <w:sz w:val="17"/>
                <w:szCs w:val="17"/>
              </w:rPr>
              <w:t xml:space="preserve">fake_modern_browser_ua</w:t>
            </w:r>
          </w:p>
          <w:p>
            <w:pPr>
              <w:spacing w:before="30" w:after="0"/>
            </w:pPr>
            <w:r>
              <w:rPr>
                <w:rFonts w:ascii="Courier New" w:cs="Courier New" w:eastAsia="Courier New" w:hAnsi="Courier New"/>
                <w:b w:val="false"/>
                <w:bCs w:val="false"/>
                <w:color w:val="9198A1"/>
                <w:sz w:val="14"/>
                <w:szCs w:val="14"/>
              </w:rPr>
              <w:t xml:space="preserve">analyzeRequestStructure() — señal 3</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+4</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UA declara Chrome o Firefox pero el request no trae ningún header Sec-Fetch-*. Los navegadores modernos siempre envían Sec-Fetch-Site, Sec-Fetch-Mode y Sec-Fetch-Dest.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pPr>
              <w:spacing w:before="0" w:after="0"/>
            </w:pPr>
            <w:r>
              <w:rPr>
                <w:rFonts w:ascii="Courier New" w:cs="Courier New" w:eastAsia="Courier New" w:hAnsi="Courier New"/>
                <w:b/>
                <w:bCs/>
                <w:color w:val="444441"/>
                <w:sz w:val="17"/>
                <w:szCs w:val="17"/>
              </w:rPr>
              <w:t xml:space="preserve">no_referer_on_deep_endpoint</w:t>
            </w:r>
          </w:p>
          <w:p>
            <w:pPr>
              <w:spacing w:before="30" w:after="0"/>
            </w:pPr>
            <w:r>
              <w:rPr>
                <w:rFonts w:ascii="Courier New" w:cs="Courier New" w:eastAsia="Courier New" w:hAnsi="Courier New"/>
                <w:b w:val="false"/>
                <w:bCs w:val="false"/>
                <w:color w:val="9198A1"/>
                <w:sz w:val="14"/>
                <w:szCs w:val="14"/>
              </w:rPr>
              <w:t xml:space="preserve">analyzeRequestStructure() — señal 4</w:t>
            </w:r>
          </w:p>
        </w:tc>
        <w:tc>
          <w:tcPr>
            <w:tcW w:type="dxa" w:w="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+4</w:t>
            </w:r>
          </w:p>
        </w:tc>
        <w:tc>
          <w:tcPr>
            <w:tcW w:type="dxa" w:w="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Acceso directo a /api/, /admin/ o /dashboard/ sin Referer ni Sec-Fetch-*. Un humano llega a esas rutas desde otra página; un bot llega directamente.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444441"/>
                <w:sz w:val="17"/>
                <w:szCs w:val="17"/>
              </w:rPr>
              <w:t xml:space="preserve">connection_close_header</w:t>
            </w:r>
          </w:p>
          <w:p>
            <w:pPr>
              <w:spacing w:before="30" w:after="0"/>
            </w:pPr>
            <w:r>
              <w:rPr>
                <w:rFonts w:ascii="Courier New" w:cs="Courier New" w:eastAsia="Courier New" w:hAnsi="Courier New"/>
                <w:b w:val="false"/>
                <w:bCs w:val="false"/>
                <w:color w:val="9198A1"/>
                <w:sz w:val="14"/>
                <w:szCs w:val="14"/>
              </w:rPr>
              <w:t xml:space="preserve">analyzeRequestStructure() — señal 5</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+4</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header Connection vale "close". Los navegadores usan keep-alive por defecto. Las herramientas de pentesting y scripts simples frecuentemente envían close.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pPr>
              <w:spacing w:before="0" w:after="0"/>
            </w:pPr>
            <w:r>
              <w:rPr>
                <w:rFonts w:ascii="Courier New" w:cs="Courier New" w:eastAsia="Courier New" w:hAnsi="Courier New"/>
                <w:b/>
                <w:bCs/>
                <w:color w:val="444441"/>
                <w:sz w:val="17"/>
                <w:szCs w:val="17"/>
              </w:rPr>
              <w:t xml:space="preserve">structural_bot_detection</w:t>
            </w:r>
          </w:p>
          <w:p>
            <w:pPr>
              <w:spacing w:before="30" w:after="0"/>
            </w:pPr>
            <w:r>
              <w:rPr>
                <w:rFonts w:ascii="Courier New" w:cs="Courier New" w:eastAsia="Courier New" w:hAnsi="Courier New"/>
                <w:b w:val="false"/>
                <w:bCs w:val="false"/>
                <w:color w:val="9198A1"/>
                <w:sz w:val="14"/>
                <w:szCs w:val="14"/>
              </w:rPr>
              <w:t xml:space="preserve">analyzeRequestStructure() — consolidación final</w:t>
            </w:r>
          </w:p>
        </w:tc>
        <w:tc>
          <w:tcPr>
            <w:tcW w:type="dxa" w:w="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+4 a +12</w:t>
            </w:r>
          </w:p>
        </w:tc>
        <w:tc>
          <w:tcPr>
            <w:tcW w:type="dxa" w:w="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Regla maestra que agrupa las 5 señales estructurales. Se activa cuando ≥2 señales coinciden en el mismo request. Más señales = más puntos: 2 señales → +4 pts, 3 señales → +8 pts, 4+ señales → +12 pts.</w:t>
            </w:r>
          </w:p>
        </w:tc>
      </w:tr>
    </w:tbl>
    <w:p>
      <w:pPr>
        <w:spacing w:before="80" w:after="0"/>
      </w:pPr>
      <w:r>
        <w:t xml:space="preserve"/>
      </w:r>
    </w:p>
    <w:p>
      <w:r>
        <w:br w:type="page"/>
      </w:r>
    </w:p>
    <w:p>
      <w:pPr>
        <w:pStyle w:val="Heading1"/>
        <w:spacing w:before="200" w:after="80"/>
      </w:pPr>
      <w:r>
        <w:rPr>
          <w:rFonts w:ascii="Arial" w:cs="Arial" w:eastAsia="Arial" w:hAnsi="Arial"/>
          <w:b/>
          <w:bCs/>
          <w:color w:val="534AB7"/>
          <w:sz w:val="28"/>
          <w:szCs w:val="28"/>
        </w:rPr>
        <w:t xml:space="preserve">3. Reputación</w:t>
      </w:r>
    </w:p>
    <w:p>
      <w:pPr>
        <w:spacing w:before="0" w:after="140"/>
      </w:pPr>
      <w:r>
        <w:rPr>
          <w:rFonts w:ascii="Arial" w:cs="Arial" w:eastAsia="Arial" w:hAnsi="Arial"/>
          <w:color w:val="9198A1"/>
          <w:sz w:val="19"/>
          <w:szCs w:val="19"/>
        </w:rPr>
        <w:t xml:space="preserve">6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534AB7"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534AB7"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534AB7"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534AB7"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534AB7"/>
                <w:sz w:val="17"/>
                <w:szCs w:val="17"/>
              </w:rPr>
              <w:t xml:space="preserve">high_risk_bot: &lt;nombre&gt;</w:t>
            </w:r>
          </w:p>
          <w:p>
            <w:pPr>
              <w:spacing w:before="30" w:after="0"/>
            </w:pPr>
            <w:r>
              <w:rPr>
                <w:rFonts w:ascii="Courier New" w:cs="Courier New" w:eastAsia="Courier New" w:hAnsi="Courier New"/>
                <w:b w:val="false"/>
                <w:bCs w:val="false"/>
                <w:color w:val="9198A1"/>
                <w:sz w:val="14"/>
                <w:szCs w:val="14"/>
              </w:rPr>
              <w:t xml:space="preserve">analyzeClientReputation()</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+8</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User-Agent contiene explícitamente el nombre de una herramienta de alto riesgo: curl, python, httpclient, scrapy, wget, go-http-client.</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pPr>
              <w:spacing w:before="0" w:after="0"/>
            </w:pPr>
            <w:r>
              <w:rPr>
                <w:rFonts w:ascii="Courier New" w:cs="Courier New" w:eastAsia="Courier New" w:hAnsi="Courier New"/>
                <w:b/>
                <w:bCs/>
                <w:color w:val="534AB7"/>
                <w:sz w:val="17"/>
                <w:szCs w:val="17"/>
              </w:rPr>
              <w:t xml:space="preserve">ai_scraper: &lt;nombre&gt;</w:t>
            </w:r>
          </w:p>
          <w:p>
            <w:pPr>
              <w:spacing w:before="30" w:after="0"/>
            </w:pPr>
            <w:r>
              <w:rPr>
                <w:rFonts w:ascii="Courier New" w:cs="Courier New" w:eastAsia="Courier New" w:hAnsi="Courier New"/>
                <w:b w:val="false"/>
                <w:bCs w:val="false"/>
                <w:color w:val="9198A1"/>
                <w:sz w:val="14"/>
                <w:szCs w:val="14"/>
              </w:rPr>
              <w:t xml:space="preserve">analyzeClientReputation() · detectAiScrapersUa()</w:t>
            </w:r>
          </w:p>
        </w:tc>
        <w:tc>
          <w:tcPr>
            <w:tcW w:type="dxa" w:w="6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+7</w:t>
            </w:r>
          </w:p>
        </w:tc>
        <w:tc>
          <w:tcPr>
            <w:tcW w:type="dxa" w:w="9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User-Agent corresponde a un crawler conocido de IA: GPTBot, ChatGPT-User, ClaudeBot, PerplexityBot, Google-Extended. Si viene de IP no verificable por DNS se aplica bloqueo adicional.</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534AB7"/>
                <w:sz w:val="17"/>
                <w:szCs w:val="17"/>
              </w:rPr>
              <w:t xml:space="preserve">seo_scraper: &lt;nombre&gt;</w:t>
            </w:r>
          </w:p>
          <w:p>
            <w:pPr>
              <w:spacing w:before="30" w:after="0"/>
            </w:pPr>
            <w:r>
              <w:rPr>
                <w:rFonts w:ascii="Courier New" w:cs="Courier New" w:eastAsia="Courier New" w:hAnsi="Courier New"/>
                <w:b w:val="false"/>
                <w:bCs w:val="false"/>
                <w:color w:val="9198A1"/>
                <w:sz w:val="14"/>
                <w:szCs w:val="14"/>
              </w:rPr>
              <w:t xml:space="preserve">analyzeClientReputation()</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+6</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User-Agent es de una herramienta de análisis SEO conocida: Ahrefs, Semrush, MJ12bot, DotBot, BLEXBot. No son atacantes pero consumen recursos y extraen datos propietarios.</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pPr>
              <w:spacing w:before="0" w:after="0"/>
            </w:pPr>
            <w:r>
              <w:rPr>
                <w:rFonts w:ascii="Courier New" w:cs="Courier New" w:eastAsia="Courier New" w:hAnsi="Courier New"/>
                <w:b/>
                <w:bCs/>
                <w:color w:val="534AB7"/>
                <w:sz w:val="17"/>
                <w:szCs w:val="17"/>
              </w:rPr>
              <w:t xml:space="preserve">known_hack_tool_ua: &lt;nombre&gt;</w:t>
            </w:r>
          </w:p>
          <w:p>
            <w:pPr>
              <w:spacing w:before="30" w:after="0"/>
            </w:pPr>
            <w:r>
              <w:rPr>
                <w:rFonts w:ascii="Courier New" w:cs="Courier New" w:eastAsia="Courier New" w:hAnsi="Courier New"/>
                <w:b w:val="false"/>
                <w:bCs w:val="false"/>
                <w:color w:val="9198A1"/>
                <w:sz w:val="14"/>
                <w:szCs w:val="14"/>
              </w:rPr>
              <w:t xml:space="preserve">checkHoneypots() — paso 3</w:t>
            </w:r>
          </w:p>
        </w:tc>
        <w:tc>
          <w:tcPr>
            <w:tcW w:type="dxa" w:w="6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+8</w:t>
            </w:r>
          </w:p>
        </w:tc>
        <w:tc>
          <w:tcPr>
            <w:tcW w:type="dxa" w:w="9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User-Agent contiene el nombre de una herramienta de hacking reconocida: sqlmap, nmap, burp, nikto, dirbuster, gobuster, acunetix, wpscan. El UA es solo una señal; analyzeRequestStructure detectará igual aunque se camufle.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534AB7"/>
                <w:sz w:val="17"/>
                <w:szCs w:val="17"/>
              </w:rPr>
              <w:t xml:space="preserve">unverified_ai_bot_ua: &lt;nombre&gt;</w:t>
            </w:r>
          </w:p>
          <w:p>
            <w:pPr>
              <w:spacing w:before="30" w:after="0"/>
            </w:pPr>
            <w:r>
              <w:rPr>
                <w:rFonts w:ascii="Courier New" w:cs="Courier New" w:eastAsia="Courier New" w:hAnsi="Courier New"/>
                <w:b w:val="false"/>
                <w:bCs w:val="false"/>
                <w:color w:val="9198A1"/>
                <w:sz w:val="14"/>
                <w:szCs w:val="14"/>
              </w:rPr>
              <w:t xml:space="preserve">detectAiScrapersUa()</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+10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UA de bot IA que no pasa la verificación DNS bidireccional. El reverse DNS de la IP no apunta al dominio del proveedor esperado (openai.com, anthropic.com), lo que sugiere suplantación o bot no autorizado.</w:t>
            </w:r>
          </w:p>
        </w:tc>
      </w:tr>
      <w:tr>
        <w:tc>
          <w:tcPr>
            <w:tcW w:type="dxa" w:w="26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pPr>
              <w:spacing w:before="0" w:after="0"/>
            </w:pPr>
            <w:r>
              <w:rPr>
                <w:rFonts w:ascii="Courier New" w:cs="Courier New" w:eastAsia="Courier New" w:hAnsi="Courier New"/>
                <w:b/>
                <w:bCs/>
                <w:color w:val="534AB7"/>
                <w:sz w:val="17"/>
                <w:szCs w:val="17"/>
              </w:rPr>
              <w:t xml:space="preserve">verified_ai_bot: &lt;nombre&gt;</w:t>
            </w:r>
          </w:p>
          <w:p>
            <w:pPr>
              <w:spacing w:before="30" w:after="0"/>
            </w:pPr>
            <w:r>
              <w:rPr>
                <w:rFonts w:ascii="Courier New" w:cs="Courier New" w:eastAsia="Courier New" w:hAnsi="Courier New"/>
                <w:b w:val="false"/>
                <w:bCs w:val="false"/>
                <w:color w:val="9198A1"/>
                <w:sz w:val="14"/>
                <w:szCs w:val="14"/>
              </w:rPr>
              <w:t xml:space="preserve">detectAiScrapersUa()</w:t>
            </w:r>
          </w:p>
        </w:tc>
        <w:tc>
          <w:tcPr>
            <w:tcW w:type="dxa" w:w="6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EEEDFE"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Bot de IA que sí pasa la verificación DNS bidireccional. Se penaliza moderadamente (no se bloquea) porque es crawling legítimo que conviene limitar sin eliminar.</w:t>
            </w:r>
          </w:p>
        </w:tc>
      </w:tr>
    </w:tbl>
    <w:p>
      <w:pPr>
        <w:spacing w:before="80" w:after="0"/>
      </w:pPr>
      <w:r>
        <w:t xml:space="preserve"/>
      </w:r>
    </w:p>
    <w:p>
      <w:r>
        <w:br w:type="page"/>
      </w:r>
    </w:p>
    <w:p>
      <w:pPr>
        <w:pStyle w:val="Heading1"/>
        <w:spacing w:before="200" w:after="80"/>
      </w:pPr>
      <w:r>
        <w:rPr>
          <w:rFonts w:ascii="Arial" w:cs="Arial" w:eastAsia="Arial" w:hAnsi="Arial"/>
          <w:b/>
          <w:bCs/>
          <w:color w:val="993C1D"/>
          <w:sz w:val="28"/>
          <w:szCs w:val="28"/>
        </w:rPr>
        <w:t xml:space="preserve">4. Honeypot</w:t>
      </w:r>
    </w:p>
    <w:p>
      <w:pPr>
        <w:spacing w:before="0" w:after="140"/>
      </w:pPr>
      <w:r>
        <w:rPr>
          <w:rFonts w:ascii="Arial" w:cs="Arial" w:eastAsia="Arial" w:hAnsi="Arial"/>
          <w:color w:val="9198A1"/>
          <w:sz w:val="19"/>
          <w:szCs w:val="19"/>
        </w:rPr>
        <w:t xml:space="preserve">4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993C1D"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993C1D"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993C1D"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993C1D"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993C1D"/>
                <w:sz w:val="17"/>
                <w:szCs w:val="17"/>
              </w:rPr>
              <w:t xml:space="preserve">HONEYPOT_HIT: &lt;ruta&gt;</w:t>
            </w:r>
          </w:p>
          <w:p>
            <w:pPr>
              <w:spacing w:before="30" w:after="0"/>
            </w:pPr>
            <w:r>
              <w:rPr>
                <w:rFonts w:ascii="Courier New" w:cs="Courier New" w:eastAsia="Courier New" w:hAnsi="Courier New"/>
                <w:b w:val="false"/>
                <w:bCs w:val="false"/>
                <w:color w:val="9198A1"/>
                <w:sz w:val="14"/>
                <w:szCs w:val="14"/>
              </w:rPr>
              <w:t xml:space="preserve">checkHoneypots() — paso 1 · $botTraps[]</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Se accedió a una URL trampa: /.env, /.git, /phpmyadmin, /shell.php, etc. Ningún usuario humano visitaría estas rutas; su acceso es evidencia directa de escaneo automatizado.</w:t>
            </w:r>
          </w:p>
        </w:tc>
      </w:tr>
      <w:tr>
        <w:tc>
          <w:tcPr>
            <w:tcW w:type="dxa" w:w="26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80"/>
            </w:tcMar>
          </w:tcPr>
          <w:p>
            <w:pPr>
              <w:spacing w:before="0" w:after="0"/>
            </w:pPr>
            <w:r>
              <w:rPr>
                <w:rFonts w:ascii="Courier New" w:cs="Courier New" w:eastAsia="Courier New" w:hAnsi="Courier New"/>
                <w:b/>
                <w:bCs/>
                <w:color w:val="993C1D"/>
                <w:sz w:val="17"/>
                <w:szCs w:val="17"/>
              </w:rPr>
              <w:t xml:space="preserve">forbidden_uri: &lt;patrón&gt;</w:t>
            </w:r>
          </w:p>
          <w:p>
            <w:pPr>
              <w:spacing w:before="30" w:after="0"/>
            </w:pPr>
            <w:r>
              <w:rPr>
                <w:rFonts w:ascii="Courier New" w:cs="Courier New" w:eastAsia="Courier New" w:hAnsi="Courier New"/>
                <w:b w:val="false"/>
                <w:bCs w:val="false"/>
                <w:color w:val="9198A1"/>
                <w:sz w:val="14"/>
                <w:szCs w:val="14"/>
              </w:rPr>
              <w:t xml:space="preserve">blockForbiddenUris()</w:t>
            </w:r>
          </w:p>
        </w:tc>
        <w:tc>
          <w:tcPr>
            <w:tcW w:type="dxa" w:w="6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La URI contiene un patrón que nunca existe en la aplicación: rutas WordPress, paneles de DB, shells PHP, archivos de configuración, backups, rutas de CI/CD, metadata cloud. Lista de 80+ patrones definidos en blockForbiddenUris().</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993C1D"/>
                <w:sz w:val="17"/>
                <w:szCs w:val="17"/>
              </w:rPr>
              <w:t xml:space="preserve">INTERCEPTOR_HEADER</w:t>
            </w:r>
          </w:p>
          <w:p>
            <w:pPr>
              <w:spacing w:before="30" w:after="0"/>
            </w:pPr>
            <w:r>
              <w:rPr>
                <w:rFonts w:ascii="Courier New" w:cs="Courier New" w:eastAsia="Courier New" w:hAnsi="Courier New"/>
                <w:b w:val="false"/>
                <w:bCs w:val="false"/>
                <w:color w:val="9198A1"/>
                <w:sz w:val="14"/>
                <w:szCs w:val="14"/>
              </w:rPr>
              <w:t xml:space="preserve">checkHoneypots() — paso 2</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request contiene X-Burp-Test o X-Scanner, headers que solo generan herramientas de intercepción como Burp Suite. No aparecen en tráfico legítimo bajo ninguna circunstancia.</w:t>
            </w:r>
          </w:p>
        </w:tc>
      </w:tr>
      <w:tr>
        <w:tc>
          <w:tcPr>
            <w:tcW w:type="dxa" w:w="26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80"/>
            </w:tcMar>
          </w:tcPr>
          <w:p>
            <w:pPr>
              <w:spacing w:before="0" w:after="0"/>
            </w:pPr>
            <w:r>
              <w:rPr>
                <w:rFonts w:ascii="Courier New" w:cs="Courier New" w:eastAsia="Courier New" w:hAnsi="Courier New"/>
                <w:b/>
                <w:bCs/>
                <w:color w:val="993C1D"/>
                <w:sz w:val="17"/>
                <w:szCs w:val="17"/>
              </w:rPr>
              <w:t xml:space="preserve">ai_honeypot_triggered: &lt;campo&gt;</w:t>
            </w:r>
          </w:p>
          <w:p>
            <w:pPr>
              <w:spacing w:before="30" w:after="0"/>
            </w:pPr>
            <w:r>
              <w:rPr>
                <w:rFonts w:ascii="Courier New" w:cs="Courier New" w:eastAsia="Courier New" w:hAnsi="Courier New"/>
                <w:b w:val="false"/>
                <w:bCs w:val="false"/>
                <w:color w:val="9198A1"/>
                <w:sz w:val="14"/>
                <w:szCs w:val="14"/>
              </w:rPr>
              <w:t xml:space="preserve">aiHoneypotCheck()</w:t>
            </w:r>
          </w:p>
        </w:tc>
        <w:tc>
          <w:tcPr>
            <w:tcW w:type="dxa" w:w="6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+15</w:t>
            </w:r>
          </w:p>
        </w:tc>
        <w:tc>
          <w:tcPr>
            <w:tcW w:type="dxa" w:w="9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Se envió un valor en el campo oculto hidden_ai_prompt o dummy_config_field. Son campos HTML invisibles para humanos que solo un bot automatizado rellenaría.</w:t>
            </w:r>
          </w:p>
        </w:tc>
      </w:tr>
    </w:tbl>
    <w:p>
      <w:pPr>
        <w:spacing w:before="80" w:after="0"/>
      </w:pPr>
      <w:r>
        <w:t xml:space="preserve"/>
      </w:r>
    </w:p>
    <w:p>
      <w:r>
        <w:br w:type="page"/>
      </w:r>
    </w:p>
    <w:p>
      <w:pPr>
        <w:pStyle w:val="Heading1"/>
        <w:spacing w:before="200" w:after="80"/>
      </w:pPr>
      <w:r>
        <w:rPr>
          <w:rFonts w:ascii="Arial" w:cs="Arial" w:eastAsia="Arial" w:hAnsi="Arial"/>
          <w:b/>
          <w:bCs/>
          <w:color w:val="185FA5"/>
          <w:sz w:val="28"/>
          <w:szCs w:val="28"/>
        </w:rPr>
        <w:t xml:space="preserve">5. Comportamiento</w:t>
      </w:r>
    </w:p>
    <w:p>
      <w:pPr>
        <w:spacing w:before="0" w:after="140"/>
      </w:pPr>
      <w:r>
        <w:rPr>
          <w:rFonts w:ascii="Arial" w:cs="Arial" w:eastAsia="Arial" w:hAnsi="Arial"/>
          <w:color w:val="9198A1"/>
          <w:sz w:val="19"/>
          <w:szCs w:val="19"/>
        </w:rPr>
        <w:t xml:space="preserve">6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185FA5"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185FA5"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185FA5"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185FA5"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185FA5"/>
                <w:sz w:val="17"/>
                <w:szCs w:val="17"/>
              </w:rPr>
              <w:t xml:space="preserve">rapid_navigation_behavior</w:t>
            </w:r>
          </w:p>
          <w:p>
            <w:pPr>
              <w:spacing w:before="30" w:after="0"/>
            </w:pPr>
            <w:r>
              <w:rPr>
                <w:rFonts w:ascii="Courier New" w:cs="Courier New" w:eastAsia="Courier New" w:hAnsi="Courier New"/>
                <w:b w:val="false"/>
                <w:bCs w:val="false"/>
                <w:color w:val="9198A1"/>
                <w:sz w:val="14"/>
                <w:szCs w:val="14"/>
              </w:rPr>
              <w:t xml:space="preserve">detectNonHumanBehavior()</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+6</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Más de 15 requests en menos de 5 segundos desde la misma IP. Un humano no puede navegar a esa velocidad. Umbral configurable en NON_HUMAN_SPEED_THRESHOLD / NON_HUMAN_SPEED_WINDOW_SECONDS.</w:t>
            </w:r>
          </w:p>
        </w:tc>
      </w:tr>
      <w:tr>
        <w:tc>
          <w:tcPr>
            <w:tcW w:type="dxa" w:w="26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80"/>
            </w:tcMar>
          </w:tcPr>
          <w:p>
            <w:pPr>
              <w:spacing w:before="0" w:after="0"/>
            </w:pPr>
            <w:r>
              <w:rPr>
                <w:rFonts w:ascii="Courier New" w:cs="Courier New" w:eastAsia="Courier New" w:hAnsi="Courier New"/>
                <w:b/>
                <w:bCs/>
                <w:color w:val="185FA5"/>
                <w:sz w:val="17"/>
                <w:szCs w:val="17"/>
              </w:rPr>
              <w:t xml:space="preserve">sequential_suspicious_navigation</w:t>
            </w:r>
          </w:p>
          <w:p>
            <w:pPr>
              <w:spacing w:before="30" w:after="0"/>
            </w:pPr>
            <w:r>
              <w:rPr>
                <w:rFonts w:ascii="Courier New" w:cs="Courier New" w:eastAsia="Courier New" w:hAnsi="Courier New"/>
                <w:b w:val="false"/>
                <w:bCs w:val="false"/>
                <w:color w:val="9198A1"/>
                <w:sz w:val="14"/>
                <w:szCs w:val="14"/>
              </w:rPr>
              <w:t xml:space="preserve">detectSuspiciousNavigation()</w:t>
            </w:r>
          </w:p>
        </w:tc>
        <w:tc>
          <w:tcPr>
            <w:tcW w:type="dxa" w:w="6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+8</w:t>
            </w:r>
          </w:p>
        </w:tc>
        <w:tc>
          <w:tcPr>
            <w:tcW w:type="dxa" w:w="9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3 o más URLs que coinciden con patrones sensibles (.env, config, backup, .sql, phpmyadmin, wp-admin, adminer, v1/auth, monitoring) accedidas dentro de una ventana de 20 segundos. Patrón clásico de escaneo secuencial automatizado.</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185FA5"/>
                <w:sz w:val="17"/>
                <w:szCs w:val="17"/>
              </w:rPr>
              <w:t xml:space="preserve">suspicious_endpoint_access: &lt;ruta&gt;</w:t>
            </w:r>
          </w:p>
          <w:p>
            <w:pPr>
              <w:spacing w:before="30" w:after="0"/>
            </w:pPr>
            <w:r>
              <w:rPr>
                <w:rFonts w:ascii="Courier New" w:cs="Courier New" w:eastAsia="Courier New" w:hAnsi="Courier New"/>
                <w:b w:val="false"/>
                <w:bCs w:val="false"/>
                <w:color w:val="9198A1"/>
                <w:sz w:val="14"/>
                <w:szCs w:val="14"/>
              </w:rPr>
              <w:t xml:space="preserve">detectAiEndpointDiscovery()</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Acceso a un endpoint interno específico: /api/v1/admin, /api/config, /graphql, /.env, /internal-api, /v1/auth/config. Endpoints que no deberían ser accesibles públicamente.</w:t>
            </w:r>
          </w:p>
        </w:tc>
      </w:tr>
      <w:tr>
        <w:tc>
          <w:tcPr>
            <w:tcW w:type="dxa" w:w="26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80"/>
            </w:tcMar>
          </w:tcPr>
          <w:p>
            <w:pPr>
              <w:spacing w:before="0" w:after="0"/>
            </w:pPr>
            <w:r>
              <w:rPr>
                <w:rFonts w:ascii="Courier New" w:cs="Courier New" w:eastAsia="Courier New" w:hAnsi="Courier New"/>
                <w:b/>
                <w:bCs/>
                <w:color w:val="185FA5"/>
                <w:sz w:val="17"/>
                <w:szCs w:val="17"/>
              </w:rPr>
              <w:t xml:space="preserve">inference_jump_with_context</w:t>
            </w:r>
          </w:p>
          <w:p>
            <w:pPr>
              <w:spacing w:before="30" w:after="0"/>
            </w:pPr>
            <w:r>
              <w:rPr>
                <w:rFonts w:ascii="Courier New" w:cs="Courier New" w:eastAsia="Courier New" w:hAnsi="Courier New"/>
                <w:b w:val="false"/>
                <w:bCs w:val="false"/>
                <w:color w:val="9198A1"/>
                <w:sz w:val="14"/>
                <w:szCs w:val="14"/>
              </w:rPr>
              <w:t xml:space="preserve">detectInferencePatterns()</w:t>
            </w:r>
          </w:p>
        </w:tc>
        <w:tc>
          <w:tcPr>
            <w:tcW w:type="dxa" w:w="6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+5 a +10</w:t>
            </w:r>
          </w:p>
        </w:tc>
        <w:tc>
          <w:tcPr>
            <w:tcW w:type="dxa" w:w="9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Acceso directo a /api/ sin pasar por página de inicio o login, sin header Authorization/X-API-Key, y con al menos 2 señales adicionales: múltiples endpoints API únicos, acceso a rutas sensibles, UA de herramienta, o velocidad alta. Descarta clientes API legítimos con token.</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185FA5"/>
                <w:sz w:val="17"/>
                <w:szCs w:val="17"/>
              </w:rPr>
              <w:t xml:space="preserve">intense_payload_fuzzing</w:t>
            </w:r>
          </w:p>
          <w:p>
            <w:pPr>
              <w:spacing w:before="30" w:after="0"/>
            </w:pPr>
            <w:r>
              <w:rPr>
                <w:rFonts w:ascii="Courier New" w:cs="Courier New" w:eastAsia="Courier New" w:hAnsi="Courier New"/>
                <w:b w:val="false"/>
                <w:bCs w:val="false"/>
                <w:color w:val="9198A1"/>
                <w:sz w:val="14"/>
                <w:szCs w:val="14"/>
              </w:rPr>
              <w:t xml:space="preserve">detectFuzzing()</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+10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Más de 10 eventos en el log de ataques en los últimos 2 minutos para la misma IP o fingerprint. Indica una campaña activa de fuzzing automatizado probando múltiples payloads en secuencia rápida.</w:t>
            </w:r>
          </w:p>
        </w:tc>
      </w:tr>
      <w:tr>
        <w:tc>
          <w:tcPr>
            <w:tcW w:type="dxa" w:w="26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80"/>
            </w:tcMar>
          </w:tcPr>
          <w:p>
            <w:pPr>
              <w:spacing w:before="0" w:after="0"/>
            </w:pPr>
            <w:r>
              <w:rPr>
                <w:rFonts w:ascii="Courier New" w:cs="Courier New" w:eastAsia="Courier New" w:hAnsi="Courier New"/>
                <w:b/>
                <w:bCs/>
                <w:color w:val="185FA5"/>
                <w:sz w:val="17"/>
                <w:szCs w:val="17"/>
              </w:rPr>
              <w:t xml:space="preserve">cloud_infrastructure_with_N_signals</w:t>
            </w:r>
          </w:p>
          <w:p>
            <w:pPr>
              <w:spacing w:before="30" w:after="0"/>
            </w:pPr>
            <w:r>
              <w:rPr>
                <w:rFonts w:ascii="Courier New" w:cs="Courier New" w:eastAsia="Courier New" w:hAnsi="Courier New"/>
                <w:b w:val="false"/>
                <w:bCs w:val="false"/>
                <w:color w:val="9198A1"/>
                <w:sz w:val="14"/>
                <w:szCs w:val="14"/>
              </w:rPr>
              <w:t xml:space="preserve">detectCloudAttack() · evaluateCloudContext()</w:t>
            </w:r>
          </w:p>
        </w:tc>
        <w:tc>
          <w:tcPr>
            <w:tcW w:type="dxa" w:w="6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+3 a +10</w:t>
            </w:r>
          </w:p>
        </w:tc>
        <w:tc>
          <w:tcPr>
            <w:tcW w:type="dxa" w:w="900"/>
            <w:tcBorders>
              <w:top w:val="single" w:color="D3D1C7" w:sz="1"/>
              <w:left w:val="single" w:color="D3D1C7" w:sz="1"/>
              <w:bottom w:val="single" w:color="D3D1C7" w:sz="1"/>
              <w:right w:val="single" w:color="D3D1C7" w:sz="1"/>
            </w:tcBorders>
            <w:shd w:fill="E6F1FB"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La IP pertenece a infraestructura cloud (AWS, GCP, Azure, Hetzner, DigitalOcean) Y tiene comportamiento sospechoso adicional: velocidad alta, accesos críticos, score previo ≥5, o UA de herramienta. Cloud solo, sin señales, no puntúa.</w:t>
            </w:r>
          </w:p>
        </w:tc>
      </w:tr>
    </w:tbl>
    <w:p>
      <w:pPr>
        <w:spacing w:before="80" w:after="0"/>
      </w:pPr>
      <w:r>
        <w:t xml:space="preserve"/>
      </w:r>
    </w:p>
    <w:p>
      <w:r>
        <w:br w:type="page"/>
      </w:r>
    </w:p>
    <w:p>
      <w:pPr>
        <w:pStyle w:val="Heading1"/>
        <w:spacing w:before="200" w:after="80"/>
      </w:pPr>
      <w:r>
        <w:rPr>
          <w:rFonts w:ascii="Arial" w:cs="Arial" w:eastAsia="Arial" w:hAnsi="Arial"/>
          <w:b/>
          <w:bCs/>
          <w:color w:val="854F0B"/>
          <w:sz w:val="28"/>
          <w:szCs w:val="28"/>
        </w:rPr>
        <w:t xml:space="preserve">6. Payload</w:t>
      </w:r>
    </w:p>
    <w:p>
      <w:pPr>
        <w:spacing w:before="0" w:after="140"/>
      </w:pPr>
      <w:r>
        <w:rPr>
          <w:rFonts w:ascii="Arial" w:cs="Arial" w:eastAsia="Arial" w:hAnsi="Arial"/>
          <w:color w:val="9198A1"/>
          <w:sz w:val="19"/>
          <w:szCs w:val="19"/>
        </w:rPr>
        <w:t xml:space="preserve">9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854F0B"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854F0B"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854F0B"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854F0B"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ai_generated_sql_payload</w:t>
            </w:r>
          </w:p>
          <w:p>
            <w:pPr>
              <w:spacing w:before="30" w:after="0"/>
            </w:pPr>
            <w:r>
              <w:rPr>
                <w:rFonts w:ascii="Courier New" w:cs="Courier New" w:eastAsia="Courier New" w:hAnsi="Courier New"/>
                <w:b w:val="false"/>
                <w:bCs w:val="false"/>
                <w:color w:val="9198A1"/>
                <w:sz w:val="14"/>
                <w:szCs w:val="14"/>
              </w:rPr>
              <w:t xml:space="preserve">detectAiPayloads()</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Payload de más de 250 caracteres que contiene keywords SQL (SELECT, UNION, DROP, INSERT, SLEEP, BENCHMARK) y comentarios SQL (--, #, /*, */). Patrón de SQLi complejo generado por herramientas automatizadas o modelos de IA.</w:t>
            </w:r>
          </w:p>
        </w:tc>
      </w:tr>
      <w:tr>
        <w:tc>
          <w:tcPr>
            <w:tcW w:type="dxa" w:w="2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sql_injection</w:t>
            </w:r>
          </w:p>
          <w:p>
            <w:pPr>
              <w:spacing w:before="30" w:after="0"/>
            </w:pPr>
            <w:r>
              <w:rPr>
                <w:rFonts w:ascii="Courier New" w:cs="Courier New" w:eastAsia="Courier New" w:hAnsi="Courier New"/>
                <w:b w:val="false"/>
                <w:bCs w:val="false"/>
                <w:color w:val="9198A1"/>
                <w:sz w:val="14"/>
                <w:szCs w:val="14"/>
              </w:rPr>
              <w:t xml:space="preserve">handle() → $rules[] → sql_injection()</w:t>
            </w:r>
          </w:p>
        </w:tc>
        <w:tc>
          <w:tcPr>
            <w:tcW w:type="dxa" w:w="6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Detecta patrones SQL maliciosos: UNION SELECT, OR 1=1, SLEEP(), BENCHMARK(), DROP TABLE, GROUP_CONCAT, comentarios inline, hex encoding, stacked queries. Se aplica tras normalización que neutraliza doble-encoding, Unicode IIS y otras evasiones.</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sql_injection_whitelist_bypass</w:t>
            </w:r>
          </w:p>
          <w:p>
            <w:pPr>
              <w:spacing w:before="30" w:after="0"/>
            </w:pPr>
            <w:r>
              <w:rPr>
                <w:rFonts w:ascii="Courier New" w:cs="Courier New" w:eastAsia="Courier New" w:hAnsi="Courier New"/>
                <w:b w:val="false"/>
                <w:bCs w:val="false"/>
                <w:color w:val="9198A1"/>
                <w:sz w:val="14"/>
                <w:szCs w:val="14"/>
              </w:rPr>
              <w:t xml:space="preserve">handle() — bloque whitelist</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SQLi detectado en un campo de la whitelist (descripcion, cuerpo_mensaje). Estos campos aceptan HTML básico pero no SQL. Se verifica después de strip_tags().</w:t>
            </w:r>
          </w:p>
        </w:tc>
      </w:tr>
      <w:tr>
        <w:tc>
          <w:tcPr>
            <w:tcW w:type="dxa" w:w="2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xss</w:t>
            </w:r>
          </w:p>
          <w:p>
            <w:pPr>
              <w:spacing w:before="30" w:after="0"/>
            </w:pPr>
            <w:r>
              <w:rPr>
                <w:rFonts w:ascii="Courier New" w:cs="Courier New" w:eastAsia="Courier New" w:hAnsi="Courier New"/>
                <w:b w:val="false"/>
                <w:bCs w:val="false"/>
                <w:color w:val="9198A1"/>
                <w:sz w:val="14"/>
                <w:szCs w:val="14"/>
              </w:rPr>
              <w:t xml:space="preserve">handle() → $rules[] → xss()</w:t>
            </w:r>
          </w:p>
        </w:tc>
        <w:tc>
          <w:tcPr>
            <w:tcW w:type="dxa" w:w="6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Detecta Cross-Site Scripting: etiquetas &lt;script&gt;, protocolo javascript:, event handlers on*= (onload, onclick, onerror), alert(), confirm(), document.cookie. Aplica a parámetros GET y POST.</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path_traversal</w:t>
            </w:r>
          </w:p>
          <w:p>
            <w:pPr>
              <w:spacing w:before="30" w:after="0"/>
            </w:pPr>
            <w:r>
              <w:rPr>
                <w:rFonts w:ascii="Courier New" w:cs="Courier New" w:eastAsia="Courier New" w:hAnsi="Courier New"/>
                <w:b w:val="false"/>
                <w:bCs w:val="false"/>
                <w:color w:val="9198A1"/>
                <w:sz w:val="14"/>
                <w:szCs w:val="14"/>
              </w:rPr>
              <w:t xml:space="preserve">handle() → $rules[] → path_traversal()</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Secuencias ../ o ..\ en parámetros que intentan subir directorios para acceder a archivos fuera del directorio permitido: ../../etc/passwd, ..\Windows\system32.</w:t>
            </w:r>
          </w:p>
        </w:tc>
      </w:tr>
      <w:tr>
        <w:tc>
          <w:tcPr>
            <w:tcW w:type="dxa" w:w="2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command_injection</w:t>
            </w:r>
          </w:p>
          <w:p>
            <w:pPr>
              <w:spacing w:before="30" w:after="0"/>
            </w:pPr>
            <w:r>
              <w:rPr>
                <w:rFonts w:ascii="Courier New" w:cs="Courier New" w:eastAsia="Courier New" w:hAnsi="Courier New"/>
                <w:b w:val="false"/>
                <w:bCs w:val="false"/>
                <w:color w:val="9198A1"/>
                <w:sz w:val="14"/>
                <w:szCs w:val="14"/>
              </w:rPr>
              <w:t xml:space="preserve">handle() → $rules[] → command_injection()</w:t>
            </w:r>
          </w:p>
        </w:tc>
        <w:tc>
          <w:tcPr>
            <w:tcW w:type="dxa" w:w="6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Comandos del sistema operativo seguidos de operadores de ejecución: cat /etc/passwd;, ls | grep, whoami`, wget http://evil.com. Indica intento de ejecutar comandos en el servidor.</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xxe</w:t>
            </w:r>
          </w:p>
          <w:p>
            <w:pPr>
              <w:spacing w:before="30" w:after="0"/>
            </w:pPr>
            <w:r>
              <w:rPr>
                <w:rFonts w:ascii="Courier New" w:cs="Courier New" w:eastAsia="Courier New" w:hAnsi="Courier New"/>
                <w:b w:val="false"/>
                <w:bCs w:val="false"/>
                <w:color w:val="9198A1"/>
                <w:sz w:val="14"/>
                <w:szCs w:val="14"/>
              </w:rPr>
              <w:t xml:space="preserve">handle() → $rules[] → xxe()</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XML External Entity Injection: DOCTYPE o ENTITY con SYSTEM o PUBLIC. Permite leer archivos del servidor (/etc/passwd), hacer SSRF interno o causar DoS por expansión de entidades.</w:t>
            </w:r>
          </w:p>
        </w:tc>
      </w:tr>
      <w:tr>
        <w:tc>
          <w:tcPr>
            <w:tcW w:type="dxa" w:w="26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ssrf</w:t>
            </w:r>
          </w:p>
          <w:p>
            <w:pPr>
              <w:spacing w:before="30" w:after="0"/>
            </w:pPr>
            <w:r>
              <w:rPr>
                <w:rFonts w:ascii="Courier New" w:cs="Courier New" w:eastAsia="Courier New" w:hAnsi="Courier New"/>
                <w:b w:val="false"/>
                <w:bCs w:val="false"/>
                <w:color w:val="9198A1"/>
                <w:sz w:val="14"/>
                <w:szCs w:val="14"/>
              </w:rPr>
              <w:t xml:space="preserve">handle() → $rules[] → ssrf()</w:t>
            </w:r>
          </w:p>
        </w:tc>
        <w:tc>
          <w:tcPr>
            <w:tcW w:type="dxa" w:w="6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AEEDA"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Server-Side Request Forgery: URLs que apuntan a localhost (127.x.x.x, ::1), metadata cloud (169.254.169.254), redes privadas (10.x, 192.168.x) o 0.0.0.0. El servidor haría la petición en nombre del atacante.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854F0B"/>
                <w:sz w:val="17"/>
                <w:szCs w:val="17"/>
              </w:rPr>
              <w:t xml:space="preserve">open_redirect</w:t>
            </w:r>
          </w:p>
          <w:p>
            <w:pPr>
              <w:spacing w:before="30" w:after="0"/>
            </w:pPr>
            <w:r>
              <w:rPr>
                <w:rFonts w:ascii="Courier New" w:cs="Courier New" w:eastAsia="Courier New" w:hAnsi="Courier New"/>
                <w:b w:val="false"/>
                <w:bCs w:val="false"/>
                <w:color w:val="9198A1"/>
                <w:sz w:val="14"/>
                <w:szCs w:val="14"/>
              </w:rPr>
              <w:t xml:space="preserve">handle() → $rules[] → open_redirect()</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URLs absolutas externas en parámetros de redirección que apuntan a dominios distintos del propio sitio. Se usa para phishing: el usuario cree ir al sitio real pero acaba en el sitio del atacante.</w:t>
            </w:r>
          </w:p>
        </w:tc>
      </w:tr>
    </w:tbl>
    <w:p>
      <w:pPr>
        <w:spacing w:before="80" w:after="0"/>
      </w:pPr>
      <w:r>
        <w:t xml:space="preserve"/>
      </w:r>
    </w:p>
    <w:p>
      <w:r>
        <w:br w:type="page"/>
      </w:r>
    </w:p>
    <w:p>
      <w:pPr>
        <w:pStyle w:val="Heading1"/>
        <w:spacing w:before="200" w:after="80"/>
      </w:pPr>
      <w:r>
        <w:rPr>
          <w:rFonts w:ascii="Arial" w:cs="Arial" w:eastAsia="Arial" w:hAnsi="Arial"/>
          <w:b/>
          <w:bCs/>
          <w:color w:val="3B6D11"/>
          <w:sz w:val="28"/>
          <w:szCs w:val="28"/>
        </w:rPr>
        <w:t xml:space="preserve">7. IA / Bots</w:t>
      </w:r>
    </w:p>
    <w:p>
      <w:pPr>
        <w:spacing w:before="0" w:after="140"/>
      </w:pPr>
      <w:r>
        <w:rPr>
          <w:rFonts w:ascii="Arial" w:cs="Arial" w:eastAsia="Arial" w:hAnsi="Arial"/>
          <w:color w:val="9198A1"/>
          <w:sz w:val="19"/>
          <w:szCs w:val="19"/>
        </w:rPr>
        <w:t xml:space="preserve">5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3B6D11"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3B6D11"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3B6D11"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3B6D11"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3B6D11"/>
                <w:sz w:val="17"/>
                <w:szCs w:val="17"/>
              </w:rPr>
              <w:t xml:space="preserve">ai_behavior_fast_requests</w:t>
            </w:r>
          </w:p>
          <w:p>
            <w:pPr>
              <w:spacing w:before="30" w:after="0"/>
            </w:pPr>
            <w:r>
              <w:rPr>
                <w:rFonts w:ascii="Courier New" w:cs="Courier New" w:eastAsia="Courier New" w:hAnsi="Courier New"/>
                <w:b w:val="false"/>
                <w:bCs w:val="false"/>
                <w:color w:val="9198A1"/>
                <w:sz w:val="14"/>
                <w:szCs w:val="14"/>
              </w:rPr>
              <w:t xml:space="preserve">detectAiBehavior()</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+8</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Más de 10 requests en 10 segundos accediendo a endpoints tipo /api/. Velocidad característica de scrapers de IA o bots de exploración automatizada.</w:t>
            </w:r>
          </w:p>
        </w:tc>
      </w:tr>
      <w:tr>
        <w:tc>
          <w:tcPr>
            <w:tcW w:type="dxa" w:w="26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before="0" w:after="0"/>
            </w:pPr>
            <w:r>
              <w:rPr>
                <w:rFonts w:ascii="Courier New" w:cs="Courier New" w:eastAsia="Courier New" w:hAnsi="Courier New"/>
                <w:b/>
                <w:bCs/>
                <w:color w:val="3B6D11"/>
                <w:sz w:val="17"/>
                <w:szCs w:val="17"/>
              </w:rPr>
              <w:t xml:space="preserve">ai_behavior_multiple_critical_endpoints</w:t>
            </w:r>
          </w:p>
          <w:p>
            <w:pPr>
              <w:spacing w:before="30" w:after="0"/>
            </w:pPr>
            <w:r>
              <w:rPr>
                <w:rFonts w:ascii="Courier New" w:cs="Courier New" w:eastAsia="Courier New" w:hAnsi="Courier New"/>
                <w:b w:val="false"/>
                <w:bCs w:val="false"/>
                <w:color w:val="9198A1"/>
                <w:sz w:val="14"/>
                <w:szCs w:val="14"/>
              </w:rPr>
              <w:t xml:space="preserve">detectAiBehavior()</w:t>
            </w:r>
          </w:p>
        </w:tc>
        <w:tc>
          <w:tcPr>
            <w:tcW w:type="dxa" w:w="6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+10</w:t>
            </w:r>
          </w:p>
        </w:tc>
        <w:tc>
          <w:tcPr>
            <w:tcW w:type="dxa" w:w="9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Más de 3 accesos a endpoints críticos (/api/, /graphql, /v1/auth, /internal-api) en los últimos 30 segundos. Patrón de exploración sistemática del API típico de bots de IA.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3B6D11"/>
                <w:sz w:val="17"/>
                <w:szCs w:val="17"/>
              </w:rPr>
              <w:t xml:space="preserve">ai_prompt_injection_detected</w:t>
            </w:r>
          </w:p>
          <w:p>
            <w:pPr>
              <w:spacing w:before="30" w:after="0"/>
            </w:pPr>
            <w:r>
              <w:rPr>
                <w:rFonts w:ascii="Courier New" w:cs="Courier New" w:eastAsia="Courier New" w:hAnsi="Courier New"/>
                <w:b w:val="false"/>
                <w:bCs w:val="false"/>
                <w:color w:val="9198A1"/>
                <w:sz w:val="14"/>
                <w:szCs w:val="14"/>
              </w:rPr>
              <w:t xml:space="preserve">detectAiPayloads()</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854F0B"/>
                <w:sz w:val="18"/>
                <w:szCs w:val="18"/>
              </w:rPr>
              <w:t xml:space="preserve">+15</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444441"/>
                <w:sz w:val="17"/>
                <w:szCs w:val="17"/>
              </w:rPr>
              <w:t xml:space="preserve">Score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El input contiene frases que intentan manipular instrucciones del sistema: "ignore previous instructions", "you are now an admin", "override system rules" o sus equivalentes en español. Ataque contra sistemas que integran IA.</w:t>
            </w:r>
          </w:p>
        </w:tc>
      </w:tr>
      <w:tr>
        <w:tc>
          <w:tcPr>
            <w:tcW w:type="dxa" w:w="26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before="0" w:after="0"/>
            </w:pPr>
            <w:r>
              <w:rPr>
                <w:rFonts w:ascii="Courier New" w:cs="Courier New" w:eastAsia="Courier New" w:hAnsi="Courier New"/>
                <w:b/>
                <w:bCs/>
                <w:color w:val="3B6D11"/>
                <w:sz w:val="17"/>
                <w:szCs w:val="17"/>
              </w:rPr>
              <w:t xml:space="preserve">ai_prompt_injection</w:t>
            </w:r>
          </w:p>
          <w:p>
            <w:pPr>
              <w:spacing w:before="30" w:after="0"/>
            </w:pPr>
            <w:r>
              <w:rPr>
                <w:rFonts w:ascii="Courier New" w:cs="Courier New" w:eastAsia="Courier New" w:hAnsi="Courier New"/>
                <w:b w:val="false"/>
                <w:bCs w:val="false"/>
                <w:color w:val="9198A1"/>
                <w:sz w:val="14"/>
                <w:szCs w:val="14"/>
              </w:rPr>
              <w:t xml:space="preserve">detectAiPayloads() → block()</w:t>
            </w:r>
          </w:p>
        </w:tc>
        <w:tc>
          <w:tcPr>
            <w:tcW w:type="dxa" w:w="6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Confirma y bloquea el prompt injection detectado. El score de +15 se suma antes del bloqueo para que la IP quede registrada con alta puntuación aunque el ban expire.</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3B6D11"/>
                <w:sz w:val="17"/>
                <w:szCs w:val="17"/>
              </w:rPr>
              <w:t xml:space="preserve">ai_scraper_detected</w:t>
            </w:r>
          </w:p>
          <w:p>
            <w:pPr>
              <w:spacing w:before="30" w:after="0"/>
            </w:pPr>
            <w:r>
              <w:rPr>
                <w:rFonts w:ascii="Courier New" w:cs="Courier New" w:eastAsia="Courier New" w:hAnsi="Courier New"/>
                <w:b w:val="false"/>
                <w:bCs w:val="false"/>
                <w:color w:val="9198A1"/>
                <w:sz w:val="14"/>
                <w:szCs w:val="14"/>
              </w:rPr>
              <w:t xml:space="preserve">detectAiScrapersUa() → block()</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Bot de IA con UA no verificable que activa bloqueo inmediato. El registro de la IP se conserva con score alto para detección futura incluso después de que el ban expire.</w:t>
            </w:r>
          </w:p>
        </w:tc>
      </w:tr>
    </w:tbl>
    <w:p>
      <w:pPr>
        <w:spacing w:before="80" w:after="0"/>
      </w:pPr>
      <w:r>
        <w:t xml:space="preserve"/>
      </w:r>
    </w:p>
    <w:p>
      <w:r>
        <w:br w:type="page"/>
      </w:r>
    </w:p>
    <w:p>
      <w:pPr>
        <w:pStyle w:val="Heading1"/>
        <w:spacing w:before="200" w:after="80"/>
      </w:pPr>
      <w:r>
        <w:rPr>
          <w:rFonts w:ascii="Arial" w:cs="Arial" w:eastAsia="Arial" w:hAnsi="Arial"/>
          <w:b/>
          <w:bCs/>
          <w:color w:val="A32D2D"/>
          <w:sz w:val="28"/>
          <w:szCs w:val="28"/>
        </w:rPr>
        <w:t xml:space="preserve">8. Acceso / Ban</w:t>
      </w:r>
    </w:p>
    <w:p>
      <w:pPr>
        <w:spacing w:before="0" w:after="140"/>
      </w:pPr>
      <w:r>
        <w:rPr>
          <w:rFonts w:ascii="Arial" w:cs="Arial" w:eastAsia="Arial" w:hAnsi="Arial"/>
          <w:color w:val="9198A1"/>
          <w:sz w:val="19"/>
          <w:szCs w:val="19"/>
        </w:rPr>
        <w:t xml:space="preserve">3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5260"/>
      </w:tblGrid>
      <w:tr>
        <w:trPr>
          <w:tblHeader/>
        </w:trPr>
        <w:tc>
          <w:tcPr>
            <w:tcW w:type="dxa" w:w="2600"/>
            <w:tcBorders>
              <w:top w:val="none" w:color="FFFFFF" w:sz="0"/>
              <w:left w:val="none" w:color="FFFFFF" w:sz="0"/>
              <w:bottom w:val="none" w:color="FFFFFF" w:sz="0"/>
              <w:right w:val="none" w:color="FFFFFF" w:sz="0"/>
            </w:tcBorders>
            <w:shd w:fill="A32D2D" w:val="clear"/>
            <w:tcMar>
              <w:top w:type="dxa" w:w="100"/>
              <w:left w:type="dxa" w:w="140"/>
              <w:bottom w:type="dxa" w:w="100"/>
              <w:right w:type="dxa" w:w="100"/>
            </w:tcMar>
          </w:tcPr>
          <w:p>
            <w:pPr>
              <w:spacing w:before="0" w:after="0"/>
            </w:pPr>
            <w:r>
              <w:rPr>
                <w:rFonts w:ascii="Arial" w:cs="Arial" w:eastAsia="Arial" w:hAnsi="Arial"/>
                <w:b/>
                <w:bCs/>
                <w:color w:val="FFFFFF"/>
                <w:sz w:val="19"/>
                <w:szCs w:val="19"/>
              </w:rPr>
              <w:t xml:space="preserve">Regla</w:t>
            </w:r>
          </w:p>
        </w:tc>
        <w:tc>
          <w:tcPr>
            <w:tcW w:type="dxa" w:w="600"/>
            <w:tcBorders>
              <w:top w:val="none" w:color="FFFFFF" w:sz="0"/>
              <w:left w:val="none" w:color="FFFFFF" w:sz="0"/>
              <w:bottom w:val="none" w:color="FFFFFF" w:sz="0"/>
              <w:right w:val="none" w:color="FFFFFF" w:sz="0"/>
            </w:tcBorders>
            <w:shd w:fill="A32D2D"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Pts</w:t>
            </w:r>
          </w:p>
        </w:tc>
        <w:tc>
          <w:tcPr>
            <w:tcW w:type="dxa" w:w="900"/>
            <w:tcBorders>
              <w:top w:val="none" w:color="FFFFFF" w:sz="0"/>
              <w:left w:val="none" w:color="FFFFFF" w:sz="0"/>
              <w:bottom w:val="none" w:color="FFFFFF" w:sz="0"/>
              <w:right w:val="none" w:color="FFFFFF" w:sz="0"/>
            </w:tcBorders>
            <w:shd w:fill="A32D2D" w:val="clear"/>
            <w:tcMar>
              <w:top w:type="dxa" w:w="100"/>
              <w:left w:type="dxa" w:w="100"/>
              <w:bottom w:type="dxa" w:w="100"/>
              <w:right w:type="dxa" w:w="100"/>
            </w:tcMar>
          </w:tcPr>
          <w:p>
            <w:pPr>
              <w:spacing w:before="0" w:after="0"/>
            </w:pPr>
            <w:r>
              <w:rPr>
                <w:rFonts w:ascii="Arial" w:cs="Arial" w:eastAsia="Arial" w:hAnsi="Arial"/>
                <w:b/>
                <w:bCs/>
                <w:color w:val="FFFFFF"/>
                <w:sz w:val="19"/>
                <w:szCs w:val="19"/>
              </w:rPr>
              <w:t xml:space="preserve">Tipo</w:t>
            </w:r>
          </w:p>
        </w:tc>
        <w:tc>
          <w:tcPr>
            <w:tcW w:type="dxa" w:w="5260"/>
            <w:tcBorders>
              <w:top w:val="none" w:color="FFFFFF" w:sz="0"/>
              <w:left w:val="none" w:color="FFFFFF" w:sz="0"/>
              <w:bottom w:val="none" w:color="FFFFFF" w:sz="0"/>
              <w:right w:val="none" w:color="FFFFFF" w:sz="0"/>
            </w:tcBorders>
            <w:shd w:fill="A32D2D" w:val="clear"/>
            <w:tcMar>
              <w:top w:type="dxa" w:w="100"/>
              <w:left w:type="dxa" w:w="120"/>
              <w:bottom w:type="dxa" w:w="100"/>
              <w:right w:type="dxa" w:w="100"/>
            </w:tcMar>
          </w:tcPr>
          <w:p>
            <w:pPr>
              <w:spacing w:before="0" w:after="0"/>
            </w:pPr>
            <w:r>
              <w:rPr>
                <w:rFonts w:ascii="Arial" w:cs="Arial" w:eastAsia="Arial" w:hAnsi="Arial"/>
                <w:b/>
                <w:bCs/>
                <w:color w:val="FFFFFF"/>
                <w:sz w:val="19"/>
                <w:szCs w:val="19"/>
              </w:rPr>
              <w:t xml:space="preserve">Qué significa / cuándo se activa</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A32D2D"/>
                <w:sz w:val="17"/>
                <w:szCs w:val="17"/>
              </w:rPr>
              <w:t xml:space="preserve">rate_limit</w:t>
            </w:r>
          </w:p>
          <w:p>
            <w:pPr>
              <w:spacing w:before="30" w:after="0"/>
            </w:pPr>
            <w:r>
              <w:rPr>
                <w:rFonts w:ascii="Courier New" w:cs="Courier New" w:eastAsia="Courier New" w:hAnsi="Courier New"/>
                <w:b w:val="false"/>
                <w:bCs w:val="false"/>
                <w:color w:val="9198A1"/>
                <w:sz w:val="14"/>
                <w:szCs w:val="14"/>
              </w:rPr>
              <w:t xml:space="preserve">rateLimit() — rama MySQL</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Más de 60 requests por minuto desde la misma IP usando conteo en MySQL. Se activa como fallback cuando Redis no está disponible.</w:t>
            </w:r>
          </w:p>
        </w:tc>
      </w:tr>
      <w:tr>
        <w:tc>
          <w:tcPr>
            <w:tcW w:type="dxa" w:w="26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before="0" w:after="0"/>
            </w:pPr>
            <w:r>
              <w:rPr>
                <w:rFonts w:ascii="Courier New" w:cs="Courier New" w:eastAsia="Courier New" w:hAnsi="Courier New"/>
                <w:b/>
                <w:bCs/>
                <w:color w:val="A32D2D"/>
                <w:sz w:val="17"/>
                <w:szCs w:val="17"/>
              </w:rPr>
              <w:t xml:space="preserve">rate_limit_redis</w:t>
            </w:r>
          </w:p>
          <w:p>
            <w:pPr>
              <w:spacing w:before="30" w:after="0"/>
            </w:pPr>
            <w:r>
              <w:rPr>
                <w:rFonts w:ascii="Courier New" w:cs="Courier New" w:eastAsia="Courier New" w:hAnsi="Courier New"/>
                <w:b w:val="false"/>
                <w:bCs w:val="false"/>
                <w:color w:val="9198A1"/>
                <w:sz w:val="14"/>
                <w:szCs w:val="14"/>
              </w:rPr>
              <w:t xml:space="preserve">rateLimit() — rama Redis</w:t>
            </w:r>
          </w:p>
        </w:tc>
        <w:tc>
          <w:tcPr>
            <w:tcW w:type="dxa" w:w="600"/>
            <w:tcBorders>
              <w:top w:val="single" w:color="D3D1C7" w:sz="1"/>
              <w:left w:val="single" w:color="D3D1C7" w:sz="1"/>
              <w:bottom w:val="single" w:color="D3D1C7" w:sz="1"/>
              <w:right w:val="single" w:color="D3D1C7" w:sz="1"/>
            </w:tcBorders>
            <w:shd w:fill="FCEBEB" w:val="clear"/>
            <w:tcMar>
              <w:top w:type="dxa" w:w="80"/>
              <w:left w:type="dxa" w:w="100"/>
              <w:bottom w:type="dxa" w:w="80"/>
              <w:right w:type="dxa" w:w="80"/>
            </w:tcMar>
            <w:vAlign w:val="top"/>
          </w:tcPr>
          <w:p>
            <w:pPr>
              <w:spacing w:before="0" w:after="0"/>
            </w:pPr>
            <w:r>
              <w:rPr>
                <w:rFonts w:ascii="Courier New" w:cs="Courier New" w:eastAsia="Courier New" w:hAnsi="Courier New"/>
                <w:b/>
                <w:bCs/>
                <w:color w:val="A32D2D"/>
                <w:sz w:val="18"/>
                <w:szCs w:val="18"/>
              </w:rPr>
              <w:t xml:space="preserve">+20</w:t>
            </w:r>
          </w:p>
        </w:tc>
        <w:tc>
          <w:tcPr>
            <w:tcW w:type="dxa" w:w="900"/>
            <w:tcBorders>
              <w:top w:val="single" w:color="D3D1C7" w:sz="1"/>
              <w:left w:val="single" w:color="D3D1C7" w:sz="1"/>
              <w:bottom w:val="single" w:color="D3D1C7" w:sz="1"/>
              <w:right w:val="single" w:color="D3D1C7" w:sz="1"/>
            </w:tcBorders>
            <w:shd w:fill="FCEBEB" w:val="clear"/>
            <w:tcMar>
              <w:top w:type="dxa" w:w="80"/>
              <w:left w:type="dxa" w:w="100"/>
              <w:bottom w:type="dxa" w:w="80"/>
              <w:right w:type="dxa" w:w="80"/>
            </w:tcMar>
          </w:tcPr>
          <w:p>
            <w:pPr>
              <w:spacing w:before="0" w:after="0"/>
            </w:pPr>
            <w:r>
              <w:rPr>
                <w:rFonts w:ascii="Arial" w:cs="Arial" w:eastAsia="Arial" w:hAnsi="Arial"/>
                <w:b/>
                <w:bCs/>
                <w:color w:val="A32D2D"/>
                <w:sz w:val="17"/>
                <w:szCs w:val="17"/>
              </w:rPr>
              <w:t xml:space="preserve">Ban inmediato</w:t>
            </w:r>
          </w:p>
        </w:tc>
        <w:tc>
          <w:tcPr>
            <w:tcW w:type="dxa" w:w="52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Más de 60 requests por minuto desde la misma IP usando contador atómico en Redis (INCR + EXPIRE). Más rápido y preciso que la versión MySQL.</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Courier New" w:cs="Courier New" w:eastAsia="Courier New" w:hAnsi="Courier New"/>
                <w:b/>
                <w:bCs/>
                <w:color w:val="A32D2D"/>
                <w:sz w:val="17"/>
                <w:szCs w:val="17"/>
              </w:rPr>
              <w:t xml:space="preserve">FINAL_BAN_SENTENCE</w:t>
            </w:r>
          </w:p>
          <w:p>
            <w:pPr>
              <w:spacing w:before="30" w:after="0"/>
            </w:pPr>
            <w:r>
              <w:rPr>
                <w:rFonts w:ascii="Courier New" w:cs="Courier New" w:eastAsia="Courier New" w:hAnsi="Courier New"/>
                <w:b w:val="false"/>
                <w:bCs w:val="false"/>
                <w:color w:val="9198A1"/>
                <w:sz w:val="14"/>
                <w:szCs w:val="14"/>
              </w:rPr>
              <w:t xml:space="preserve">logBan() — al banear</w:t>
            </w:r>
          </w:p>
        </w:tc>
        <w:tc>
          <w:tcPr>
            <w:tcW w:type="dxa" w:w="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vAlign w:val="top"/>
          </w:tcPr>
          <w:p>
            <w:pPr>
              <w:spacing w:before="0" w:after="0"/>
            </w:pPr>
            <w:r>
              <w:rPr>
                <w:rFonts w:ascii="Courier New" w:cs="Courier New" w:eastAsia="Courier New" w:hAnsi="Courier New"/>
                <w:b/>
                <w:bCs/>
                <w:color w:val="3B6D11"/>
                <w:sz w:val="18"/>
                <w:szCs w:val="18"/>
              </w:rPr>
              <w:t xml:space="preserve">—</w:t>
            </w:r>
          </w:p>
        </w:tc>
        <w:tc>
          <w:tcPr>
            <w:tcW w:type="dxa" w:w="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80"/>
            </w:tcMar>
          </w:tcPr>
          <w:p>
            <w:pPr>
              <w:spacing w:before="0" w:after="0"/>
            </w:pPr>
            <w:r>
              <w:rPr>
                <w:rFonts w:ascii="Arial" w:cs="Arial" w:eastAsia="Arial" w:hAnsi="Arial"/>
                <w:b w:val="false"/>
                <w:bCs w:val="false"/>
                <w:color w:val="888780"/>
                <w:sz w:val="17"/>
                <w:szCs w:val="17"/>
              </w:rPr>
              <w:t xml:space="preserve">Registro forense</w:t>
            </w:r>
          </w:p>
        </w:tc>
        <w:tc>
          <w:tcPr>
            <w:tcW w:type="dxa" w:w="52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444441"/>
                <w:sz w:val="18"/>
                <w:szCs w:val="18"/>
              </w:rPr>
              <w:t xml:space="preserve">No es una regla de detección. Es el registro que se inserta en waf_attack_logs_szm cuando la IP alcanza el umbral de 20 puntos y es baneada. Contiene el score final, el UA, la URI y el historial completo de razones acumuladas.</w:t>
            </w:r>
          </w:p>
        </w:tc>
      </w:tr>
    </w:tbl>
    <w:p>
      <w:pPr>
        <w:spacing w:before="80" w:after="0"/>
      </w:pPr>
      <w:r>
        <w:t xml:space="preserve"/>
      </w:r>
    </w:p>
    <w:p>
      <w:r>
        <w:br w:type="page"/>
      </w:r>
    </w:p>
    <w:p>
      <w:pPr>
        <w:pStyle w:val="Heading1"/>
        <w:spacing w:before="200" w:after="120"/>
      </w:pPr>
      <w:r>
        <w:rPr>
          <w:rFonts w:ascii="Arial" w:cs="Arial" w:eastAsia="Arial" w:hAnsi="Arial"/>
          <w:b/>
          <w:bCs/>
          <w:color w:val="185FA5"/>
          <w:sz w:val="28"/>
          <w:szCs w:val="28"/>
        </w:rPr>
        <w:t xml:space="preserve">9. Consultas de diagnóstico</w:t>
      </w:r>
    </w:p>
    <w:p>
      <w:pPr>
        <w:spacing w:before="60" w:after="80"/>
      </w:pPr>
      <w:r>
        <w:rPr>
          <w:rFonts w:ascii="Arial" w:cs="Arial" w:eastAsia="Arial" w:hAnsi="Arial"/>
          <w:color w:val="5F5E5A"/>
          <w:sz w:val="20"/>
          <w:szCs w:val="20"/>
        </w:rPr>
        <w:t xml:space="preserve">Ver todas las reglas activadas en las últimas 24 horas:</w:t>
      </w:r>
    </w:p>
    <w:p>
      <w:pPr>
        <w:shd w:fill="F1EFE8" w:val="clear"/>
        <w:spacing w:before="20" w:after="20"/>
        <w:ind w:left="360"/>
      </w:pPr>
      <w:r>
        <w:rPr>
          <w:rFonts w:ascii="Courier New" w:cs="Courier New" w:eastAsia="Courier New" w:hAnsi="Courier New"/>
          <w:color w:val="3C3489"/>
          <w:sz w:val="18"/>
          <w:szCs w:val="18"/>
        </w:rPr>
        <w:t xml:space="preserve">SELECT rule_triggered, COUNT(*) as total, COUNT(DISTINCT ip_address) as ips_unicas</w:t>
      </w:r>
    </w:p>
    <w:p>
      <w:pPr>
        <w:shd w:fill="F1EFE8" w:val="clear"/>
        <w:spacing w:before="20" w:after="20"/>
        <w:ind w:left="360"/>
      </w:pPr>
      <w:r>
        <w:rPr>
          <w:rFonts w:ascii="Courier New" w:cs="Courier New" w:eastAsia="Courier New" w:hAnsi="Courier New"/>
          <w:color w:val="3C3489"/>
          <w:sz w:val="18"/>
          <w:szCs w:val="18"/>
        </w:rPr>
        <w:t xml:space="preserve">FROM waf_attack_logs_szm</w:t>
      </w:r>
    </w:p>
    <w:p>
      <w:pPr>
        <w:shd w:fill="F1EFE8" w:val="clear"/>
        <w:spacing w:before="20" w:after="20"/>
        <w:ind w:left="360"/>
      </w:pPr>
      <w:r>
        <w:rPr>
          <w:rFonts w:ascii="Courier New" w:cs="Courier New" w:eastAsia="Courier New" w:hAnsi="Courier New"/>
          <w:color w:val="3C3489"/>
          <w:sz w:val="18"/>
          <w:szCs w:val="18"/>
        </w:rPr>
        <w:t xml:space="preserve">WHERE created_at &gt;= NOW() - INTERVAL 24 HOUR</w:t>
      </w:r>
    </w:p>
    <w:p>
      <w:pPr>
        <w:shd w:fill="F1EFE8" w:val="clear"/>
        <w:spacing w:before="20" w:after="20"/>
        <w:ind w:left="360"/>
      </w:pPr>
      <w:r>
        <w:rPr>
          <w:rFonts w:ascii="Courier New" w:cs="Courier New" w:eastAsia="Courier New" w:hAnsi="Courier New"/>
          <w:color w:val="3C3489"/>
          <w:sz w:val="18"/>
          <w:szCs w:val="18"/>
        </w:rPr>
        <w:t xml:space="preserve">GROUP BY rule_triggered</w:t>
      </w:r>
    </w:p>
    <w:p>
      <w:pPr>
        <w:shd w:fill="F1EFE8" w:val="clear"/>
        <w:spacing w:before="20" w:after="20"/>
        <w:ind w:left="360"/>
      </w:pPr>
      <w:r>
        <w:rPr>
          <w:rFonts w:ascii="Courier New" w:cs="Courier New" w:eastAsia="Courier New" w:hAnsi="Courier New"/>
          <w:color w:val="3C3489"/>
          <w:sz w:val="18"/>
          <w:szCs w:val="18"/>
        </w:rPr>
        <w:t xml:space="preserve">ORDER BY total DESC;</w:t>
      </w:r>
    </w:p>
    <w:p>
      <w:pPr>
        <w:spacing w:before="140" w:after="80"/>
      </w:pPr>
      <w:r>
        <w:rPr>
          <w:rFonts w:ascii="Arial" w:cs="Arial" w:eastAsia="Arial" w:hAnsi="Arial"/>
          <w:color w:val="5F5E5A"/>
          <w:sz w:val="20"/>
          <w:szCs w:val="20"/>
        </w:rPr>
        <w:t xml:space="preserve">Ver IPs con mayor score acumulado:</w:t>
      </w:r>
    </w:p>
    <w:p>
      <w:pPr>
        <w:shd w:fill="F1EFE8" w:val="clear"/>
        <w:spacing w:before="20" w:after="20"/>
        <w:ind w:left="360"/>
      </w:pPr>
      <w:r>
        <w:rPr>
          <w:rFonts w:ascii="Courier New" w:cs="Courier New" w:eastAsia="Courier New" w:hAnsi="Courier New"/>
          <w:color w:val="3C3489"/>
          <w:sz w:val="18"/>
          <w:szCs w:val="18"/>
        </w:rPr>
        <w:t xml:space="preserve">SELECT ip_address, risk_score, is_banned, reason, last_attempt</w:t>
      </w:r>
    </w:p>
    <w:p>
      <w:pPr>
        <w:shd w:fill="F1EFE8" w:val="clear"/>
        <w:spacing w:before="20" w:after="20"/>
        <w:ind w:left="360"/>
      </w:pPr>
      <w:r>
        <w:rPr>
          <w:rFonts w:ascii="Courier New" w:cs="Courier New" w:eastAsia="Courier New" w:hAnsi="Courier New"/>
          <w:color w:val="3C3489"/>
          <w:sz w:val="18"/>
          <w:szCs w:val="18"/>
        </w:rPr>
        <w:t xml:space="preserve">FROM waf_blocked_ips_szm</w:t>
      </w:r>
    </w:p>
    <w:p>
      <w:pPr>
        <w:shd w:fill="F1EFE8" w:val="clear"/>
        <w:spacing w:before="20" w:after="20"/>
        <w:ind w:left="360"/>
      </w:pPr>
      <w:r>
        <w:rPr>
          <w:rFonts w:ascii="Courier New" w:cs="Courier New" w:eastAsia="Courier New" w:hAnsi="Courier New"/>
          <w:color w:val="3C3489"/>
          <w:sz w:val="18"/>
          <w:szCs w:val="18"/>
        </w:rPr>
        <w:t xml:space="preserve">ORDER BY risk_score DESC</w:t>
      </w:r>
    </w:p>
    <w:p>
      <w:pPr>
        <w:shd w:fill="F1EFE8" w:val="clear"/>
        <w:spacing w:before="20" w:after="20"/>
        <w:ind w:left="360"/>
      </w:pPr>
      <w:r>
        <w:rPr>
          <w:rFonts w:ascii="Courier New" w:cs="Courier New" w:eastAsia="Courier New" w:hAnsi="Courier New"/>
          <w:color w:val="3C3489"/>
          <w:sz w:val="18"/>
          <w:szCs w:val="18"/>
        </w:rPr>
        <w:t xml:space="preserve">LIMIT 20;</w:t>
      </w:r>
    </w:p>
    <w:p>
      <w:pPr>
        <w:spacing w:before="140" w:after="80"/>
      </w:pPr>
      <w:r>
        <w:rPr>
          <w:rFonts w:ascii="Arial" w:cs="Arial" w:eastAsia="Arial" w:hAnsi="Arial"/>
          <w:color w:val="5F5E5A"/>
          <w:sz w:val="20"/>
          <w:szCs w:val="20"/>
        </w:rPr>
        <w:t xml:space="preserve">Ver historial de razones de una IP específica:</w:t>
      </w:r>
    </w:p>
    <w:p>
      <w:pPr>
        <w:shd w:fill="F1EFE8" w:val="clear"/>
        <w:spacing w:before="20" w:after="20"/>
        <w:ind w:left="360"/>
      </w:pPr>
      <w:r>
        <w:rPr>
          <w:rFonts w:ascii="Courier New" w:cs="Courier New" w:eastAsia="Courier New" w:hAnsi="Courier New"/>
          <w:color w:val="3C3489"/>
          <w:sz w:val="18"/>
          <w:szCs w:val="18"/>
        </w:rPr>
        <w:t xml:space="preserve">SELECT reason FROM waf_blocked_ips_szm WHERE ip_address = '1.2.3.4';</w:t>
      </w:r>
    </w:p>
    <w:p>
      <w:pPr>
        <w:spacing w:before="400"/>
        <w:jc w:val="center"/>
      </w:pPr>
      <w:r>
        <w:rPr>
          <w:rFonts w:ascii="Arial" w:cs="Arial" w:eastAsia="Arial" w:hAnsi="Arial"/>
          <w:i/>
          <w:iCs/>
          <w:color w:val="B4B2A9"/>
          <w:sz w:val="18"/>
          <w:szCs w:val="18"/>
        </w:rPr>
        <w:t xml:space="preserve">Mtro. Noe Cazarez Camargo  ·  SuZuMa  ·  AegisWAF v2.1.0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85FA5"/>
      <w:sz w:val="28"/>
      <w:szCs w:val="28"/>
    </w:rPr>
  </w:style>
  <w:style w:type="paragraph" w:styleId="Heading2">
    <w:name w:val="Heading 2"/>
    <w:basedOn w:val="Normal"/>
    <w:next w:val="Normal"/>
    <w:qFormat/>
    <w:pPr>
      <w:spacing w:before="180" w:after="80"/>
      <w:outlineLvl w:val="1"/>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2026-03-22T05:31:07.282Z</dcterms:created>
  <dcterms:modified xsi:type="dcterms:W3CDTF">2026-03-22T05:31:07.282Z</dcterms:modified>
</cp:coreProperties>
</file>

<file path=docProps/custom.xml><?xml version="1.0" encoding="utf-8"?>
<Properties xmlns="http://schemas.openxmlformats.org/officeDocument/2006/custom-properties" xmlns:vt="http://schemas.openxmlformats.org/officeDocument/2006/docPropsVTypes"/>
</file>