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1" w:name="X9ac1d7291702c0614f11d6d2d84fb747b1725a5"/>
    <w:p>
      <w:pPr>
        <w:pStyle w:val="Heading1"/>
      </w:pPr>
      <w:r>
        <w:t xml:space="preserve">Reimplementing AdvLS: Adversarial Laser Spot Attacks</w:t>
      </w:r>
    </w:p>
    <w:bookmarkStart w:id="20" w:name="X06ddd4064f27bfa37666644b3697cef2a59fbef"/>
    <w:p>
      <w:pPr>
        <w:pStyle w:val="Heading3"/>
      </w:pPr>
      <w:r>
        <w:t xml:space="preserve">A Digital-Only Reproduction of Hu et al. (ACML 2022)</w:t>
      </w:r>
    </w:p>
    <w:p>
      <w:r>
        <w:pict>
          <v:rect style="width:0;height:1.5pt" o:hralign="center" o:hrstd="t" o:hr="t"/>
        </w:pict>
      </w:r>
    </w:p>
    <w:bookmarkEnd w:id="20"/>
    <w:bookmarkStart w:id="21" w:name="objective"/>
    <w:p>
      <w:pPr>
        <w:pStyle w:val="Heading2"/>
      </w:pPr>
      <w:r>
        <w:t xml:space="preserve">1. Objective</w:t>
      </w:r>
    </w:p>
    <w:p>
      <w:pPr>
        <w:pStyle w:val="FirstParagraph"/>
      </w:pPr>
      <w:r>
        <w:t xml:space="preserve">The goal of this project was to reimplement</w:t>
      </w:r>
      <w:r>
        <w:t xml:space="preserve"> </w:t>
      </w:r>
      <w:r>
        <w:rPr>
          <w:bCs/>
          <w:b/>
        </w:rPr>
        <w:t xml:space="preserve">AdvLS</w:t>
      </w:r>
      <w:r>
        <w:t xml:space="preserve"> </w:t>
      </w:r>
      <w:r>
        <w:t xml:space="preserve">(Hu, Wang, Tiliwalidi &amp; Li,</w:t>
      </w:r>
      <w:r>
        <w:t xml:space="preserve"> </w:t>
      </w:r>
      <w:r>
        <w:rPr>
          <w:iCs/>
          <w:i/>
        </w:rPr>
        <w:t xml:space="preserve">“</w:t>
      </w:r>
      <w:r>
        <w:rPr>
          <w:iCs/>
          <w:i/>
        </w:rPr>
        <w:t xml:space="preserve">Adversarial Laser Spot: Robust and Covert Physical-World Attack to DNNs,</w:t>
      </w:r>
      <w:r>
        <w:rPr>
          <w:iCs/>
          <w:i/>
        </w:rPr>
        <w:t xml:space="preserve">”</w:t>
      </w:r>
      <w:r>
        <w:t xml:space="preserve"> </w:t>
      </w:r>
      <w:r>
        <w:t xml:space="preserve">ACML 2022) — a method that fools image classifiers by projecting small colored laser spots onto objects, optimized via a genetic algorithm.</w:t>
      </w:r>
    </w:p>
    <w:p>
      <w:pPr>
        <w:pStyle w:val="BodyText"/>
      </w:pPr>
      <w:r>
        <w:t xml:space="preserve">Rather than using physical laser pointers as the original paper does, this reimplementation renders simulated laser spots directly onto digital photographs, keeping the entire pipeline — including the</w:t>
      </w:r>
      <w:r>
        <w:t xml:space="preserve"> </w:t>
      </w:r>
      <w:r>
        <w:t xml:space="preserve">“</w:t>
      </w:r>
      <w:r>
        <w:t xml:space="preserve">physical-world</w:t>
      </w:r>
      <w:r>
        <w:t xml:space="preserve">”</w:t>
      </w:r>
      <w:r>
        <w:t xml:space="preserve"> </w:t>
      </w:r>
      <w:r>
        <w:t xml:space="preserve">component — inside a software simulation.</w:t>
      </w:r>
    </w:p>
    <w:p>
      <w:r>
        <w:pict>
          <v:rect style="width:0;height:1.5pt" o:hralign="center" o:hrstd="t" o:hr="t"/>
        </w:pict>
      </w:r>
    </w:p>
    <w:bookmarkEnd w:id="21"/>
    <w:bookmarkStart w:id="22" w:name="setup"/>
    <w:p>
      <w:pPr>
        <w:pStyle w:val="Heading2"/>
      </w:pPr>
      <w:r>
        <w:t xml:space="preserve">2. Setup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Choice</w:t>
            </w:r>
          </w:p>
        </w:tc>
      </w:tr>
      <w:tr>
        <w:tc>
          <w:tcPr/>
          <w:p>
            <w:pPr>
              <w:pStyle w:val="Compact"/>
              <w:jc w:val="left"/>
            </w:pPr>
            <w:r>
              <w:t xml:space="preserve">Target classifier</w:t>
            </w:r>
          </w:p>
        </w:tc>
        <w:tc>
          <w:tcPr/>
          <w:p>
            <w:pPr>
              <w:pStyle w:val="Compact"/>
              <w:jc w:val="left"/>
            </w:pPr>
            <w:r>
              <w:t xml:space="preserve">ResNet50, pretrained on ImageNet (</w:t>
            </w:r>
            <w:r>
              <w:rPr>
                <w:rStyle w:val="VerbatimChar"/>
              </w:rPr>
              <w:t xml:space="preserve">torchvision</w:t>
            </w:r>
            <w:r>
              <w:t xml:space="preserve">,</w:t>
            </w:r>
            <w:r>
              <w:t xml:space="preserve"> </w:t>
            </w:r>
            <w:r>
              <w:rPr>
                <w:rStyle w:val="VerbatimChar"/>
              </w:rPr>
              <w:t xml:space="preserve">IMAGENET1K_V2</w:t>
            </w:r>
            <w:r>
              <w:t xml:space="preserve"> </w:t>
            </w:r>
            <w:r>
              <w:t xml:space="preserve">weights)</w:t>
            </w:r>
          </w:p>
        </w:tc>
      </w:tr>
      <w:tr>
        <w:tc>
          <w:tcPr/>
          <w:p>
            <w:pPr>
              <w:pStyle w:val="Compact"/>
              <w:jc w:val="left"/>
            </w:pPr>
            <w:r>
              <w:t xml:space="preserve">Dataset</w:t>
            </w:r>
          </w:p>
        </w:tc>
        <w:tc>
          <w:tcPr/>
          <w:p>
            <w:pPr>
              <w:pStyle w:val="Compact"/>
              <w:jc w:val="left"/>
            </w:pPr>
            <w:r>
              <w:t xml:space="preserve">ImageNet-mini (Kaggle),</w:t>
            </w:r>
            <w:r>
              <w:t xml:space="preserve"> </w:t>
            </w:r>
            <w:r>
              <w:rPr>
                <w:rStyle w:val="VerbatimChar"/>
              </w:rPr>
              <w:t xml:space="preserve">val</w:t>
            </w:r>
            <w:r>
              <w:t xml:space="preserve"> </w:t>
            </w:r>
            <w:r>
              <w:t xml:space="preserve">split</w:t>
            </w:r>
          </w:p>
        </w:tc>
      </w:tr>
      <w:tr>
        <w:tc>
          <w:tcPr/>
          <w:p>
            <w:pPr>
              <w:pStyle w:val="Compact"/>
              <w:jc w:val="left"/>
            </w:pPr>
            <w:r>
              <w:t xml:space="preserve">Correctly-classified image pool</w:t>
            </w:r>
          </w:p>
        </w:tc>
        <w:tc>
          <w:tcPr/>
          <w:p>
            <w:pPr>
              <w:pStyle w:val="Compact"/>
              <w:jc w:val="left"/>
            </w:pPr>
            <w:r>
              <w:rPr>
                <w:bCs/>
                <w:b/>
              </w:rPr>
              <w:t xml:space="preserve">3,122 images</w:t>
            </w:r>
            <w:r>
              <w:t xml:space="preserve"> </w:t>
            </w:r>
            <w:r>
              <w:t xml:space="preserve">(out of 3,923 checked — ~79.6% baseline accuracy, consistent with ResNet50’s published ImageNet performance)</w:t>
            </w:r>
          </w:p>
        </w:tc>
      </w:tr>
      <w:tr>
        <w:tc>
          <w:tcPr/>
          <w:p>
            <w:pPr>
              <w:pStyle w:val="Compact"/>
              <w:jc w:val="left"/>
            </w:pPr>
            <w:r>
              <w:t xml:space="preserve">Hardware</w:t>
            </w:r>
          </w:p>
        </w:tc>
        <w:tc>
          <w:tcPr/>
          <w:p>
            <w:pPr>
              <w:pStyle w:val="Compact"/>
              <w:jc w:val="left"/>
            </w:pPr>
            <w:r>
              <w:t xml:space="preserve">CPU only (no GPU)</w:t>
            </w:r>
          </w:p>
        </w:tc>
      </w:tr>
      <w:tr>
        <w:tc>
          <w:tcPr/>
          <w:p>
            <w:pPr>
              <w:pStyle w:val="Compact"/>
              <w:jc w:val="left"/>
            </w:pPr>
            <w:r>
              <w:t xml:space="preserve">Language / libraries</w:t>
            </w:r>
          </w:p>
        </w:tc>
        <w:tc>
          <w:tcPr/>
          <w:p>
            <w:pPr>
              <w:pStyle w:val="Compact"/>
              <w:jc w:val="left"/>
            </w:pPr>
            <w:r>
              <w:t xml:space="preserve">Python, PyTorch, torchvision, Pillow, NumPy</w:t>
            </w:r>
          </w:p>
        </w:tc>
      </w:tr>
    </w:tbl>
    <w:p>
      <w:r>
        <w:pict>
          <v:rect style="width:0;height:1.5pt" o:hralign="center" o:hrstd="t" o:hr="t"/>
        </w:pict>
      </w:r>
    </w:p>
    <w:bookmarkEnd w:id="22"/>
    <w:bookmarkStart w:id="23" w:name="pipeline-8-steps"/>
    <w:p>
      <w:pPr>
        <w:pStyle w:val="Heading2"/>
      </w:pPr>
      <w:r>
        <w:t xml:space="preserve">3. Pipeline (8 steps)</w:t>
      </w:r>
    </w:p>
    <w:p>
      <w:pPr>
        <w:pStyle w:val="FirstParagraph"/>
      </w:pPr>
      <w:r>
        <w:rPr>
          <w:bCs/>
          <w:b/>
        </w:rPr>
        <w:t xml:space="preserve">Step 1 — Data setup.</w:t>
      </w:r>
      <w:r>
        <w:t xml:space="preserve"> </w:t>
      </w:r>
      <w:r>
        <w:t xml:space="preserve">Loaded pretrained ResNet50, filtered ImageNet-mini’s validation images down to only those the model already classifies correctly, matching the paper’s approach of only attacking</w:t>
      </w:r>
      <w:r>
        <w:t xml:space="preserve"> </w:t>
      </w:r>
      <w:r>
        <w:t xml:space="preserve">“</w:t>
      </w:r>
      <w:r>
        <w:t xml:space="preserve">already correct</w:t>
      </w:r>
      <w:r>
        <w:t xml:space="preserve">”</w:t>
      </w:r>
      <w:r>
        <w:t xml:space="preserve"> </w:t>
      </w:r>
      <w:r>
        <w:t xml:space="preserve">predictions.</w:t>
      </w:r>
    </w:p>
    <w:p>
      <w:pPr>
        <w:pStyle w:val="BodyText"/>
      </w:pPr>
      <w:r>
        <w:rPr>
          <w:bCs/>
          <w:b/>
        </w:rPr>
        <w:t xml:space="preserve">Step 2 — Laser spot parameterization.</w:t>
      </w:r>
      <w:r>
        <w:t xml:space="preserve"> </w:t>
      </w:r>
      <w:r>
        <w:t xml:space="preserve">Defined each spot as θ = (m, n, r, g, b) — center position and RGB color — with a fixed radius, and a spot group Gθ as a list of these. Built a flatten/rebuild conversion to and from a numeric</w:t>
      </w:r>
      <w:r>
        <w:t xml:space="preserve"> </w:t>
      </w:r>
      <w:r>
        <w:t xml:space="preserve">“</w:t>
      </w:r>
      <w:r>
        <w:t xml:space="preserve">chromosome</w:t>
      </w:r>
      <w:r>
        <w:t xml:space="preserve">”</w:t>
      </w:r>
      <w:r>
        <w:t xml:space="preserve"> </w:t>
      </w:r>
      <w:r>
        <w:t xml:space="preserve">vector for use by the genetic algorithm.</w:t>
      </w:r>
    </w:p>
    <w:p>
      <w:pPr>
        <w:pStyle w:val="BodyText"/>
      </w:pPr>
      <w:r>
        <w:rPr>
          <w:bCs/>
          <w:b/>
        </w:rPr>
        <w:t xml:space="preserve">Step 3 — Fusion function S(X, Gθ).</w:t>
      </w:r>
      <w:r>
        <w:t xml:space="preserve"> </w:t>
      </w:r>
      <w:r>
        <w:t xml:space="preserve">Rendered spot groups onto clean images using soft, Gaussian-blurred glowing circles alpha-blended onto the photo, approximating a real laser spot’s appearance.</w:t>
      </w:r>
    </w:p>
    <w:p>
      <w:pPr>
        <w:pStyle w:val="BodyText"/>
      </w:pPr>
      <w:r>
        <w:rPr>
          <w:bCs/>
          <w:b/>
        </w:rPr>
        <w:t xml:space="preserve">Step 4 — Genetic algorithm.</w:t>
      </w:r>
      <w:r>
        <w:t xml:space="preserve"> </w:t>
      </w:r>
      <w:r>
        <w:t xml:space="preserve">Implemented the paper’s search procedure: a population of random spot groups, evaluated by the classifier’s confidence in the true label, with selection (worst 10% replaced by best 10%), crossover (P=0.7), and mutation (P=0.1) each generation, until misclassification or a generation cap.</w:t>
      </w:r>
    </w:p>
    <w:p>
      <w:pPr>
        <w:numPr>
          <w:ilvl w:val="0"/>
          <w:numId w:val="1001"/>
        </w:numPr>
        <w:pStyle w:val="Compact"/>
      </w:pPr>
      <w:r>
        <w:rPr>
          <w:bCs/>
          <w:b/>
        </w:rPr>
        <w:t xml:space="preserve">Bug found and fixed mid-project:</w:t>
      </w:r>
      <w:r>
        <w:t xml:space="preserve"> </w:t>
      </w:r>
      <w:r>
        <w:t xml:space="preserve">the original loop discarded the entire population every generation via crossover/mutation with no elitism, meaning even a strong solution could be mutated away and lost. Adding elitism (carrying the single best-ever solution unchanged into each new generation) measurably improved results — ASR on a fixed 5-image test set rose from 40% to 60% under identical settings after the fix.</w:t>
      </w:r>
    </w:p>
    <w:p>
      <w:pPr>
        <w:pStyle w:val="FirstParagraph"/>
      </w:pPr>
      <w:r>
        <w:rPr>
          <w:bCs/>
          <w:b/>
        </w:rPr>
        <w:t xml:space="preserve">Step 5 — Digital attack evaluation + color ablation.</w:t>
      </w:r>
      <w:r>
        <w:t xml:space="preserve"> </w:t>
      </w:r>
      <w:r>
        <w:t xml:space="preserve">Ran the full attack across sampled images under four spot-color modes (random, red, green, blue), tracking Attack Success Rate (ASR) and average queries-to-success — mirroring the paper’s Table 1.</w:t>
      </w:r>
    </w:p>
    <w:p>
      <w:pPr>
        <w:pStyle w:val="BodyText"/>
      </w:pPr>
      <w:r>
        <w:rPr>
          <w:bCs/>
          <w:b/>
        </w:rPr>
        <w:t xml:space="preserve">Step 6 — Number-of-spots ablation.</w:t>
      </w:r>
      <w:r>
        <w:t xml:space="preserve"> </w:t>
      </w:r>
      <w:r>
        <w:t xml:space="preserve">Repeated the attack while varying spot count (5, 20, 50), mirroring the paper’s Figure 8.</w:t>
      </w:r>
    </w:p>
    <w:p>
      <w:pPr>
        <w:pStyle w:val="BodyText"/>
      </w:pPr>
      <w:r>
        <w:rPr>
          <w:bCs/>
          <w:b/>
        </w:rPr>
        <w:t xml:space="preserve">Step 7 — Attack transferability.</w:t>
      </w:r>
      <w:r>
        <w:t xml:space="preserve"> </w:t>
      </w:r>
      <w:r>
        <w:t xml:space="preserve">Took successful adversarial images (still optimized only against ResNet50) and, without any further optimization, tested whether they also fooled unrelated architectures (VGG19, MobileNet, DenseNet) — mirroring the paper’s black-box transfer tables.</w:t>
      </w:r>
    </w:p>
    <w:p>
      <w:pPr>
        <w:pStyle w:val="BodyText"/>
      </w:pPr>
      <w:r>
        <w:rPr>
          <w:bCs/>
          <w:b/>
        </w:rPr>
        <w:t xml:space="preserve">Step 8 — Misclassification semantic analysis.</w:t>
      </w:r>
      <w:r>
        <w:t xml:space="preserve"> </w:t>
      </w:r>
      <w:r>
        <w:t xml:space="preserve">For every successful attack, recorded</w:t>
      </w:r>
      <w:r>
        <w:t xml:space="preserve"> </w:t>
      </w:r>
      <w:r>
        <w:rPr>
          <w:iCs/>
          <w:i/>
        </w:rPr>
        <w:t xml:space="preserve">which</w:t>
      </w:r>
      <w:r>
        <w:t xml:space="preserve"> </w:t>
      </w:r>
      <w:r>
        <w:t xml:space="preserve">wrong label the model landed on, then tallied the most frequent wrong labels across all successes — mirroring the paper’s Figure 5/9 analysis of why certain categories (e.g. </w:t>
      </w:r>
      <w:r>
        <w:t xml:space="preserve">“</w:t>
      </w:r>
      <w:r>
        <w:t xml:space="preserve">Bubble,</w:t>
      </w:r>
      <w:r>
        <w:t xml:space="preserve">”</w:t>
      </w:r>
      <w:r>
        <w:t xml:space="preserve"> </w:t>
      </w:r>
      <w:r>
        <w:t xml:space="preserve">“</w:t>
      </w:r>
      <w:r>
        <w:t xml:space="preserve">Envelope,</w:t>
      </w:r>
      <w:r>
        <w:t xml:space="preserve">”</w:t>
      </w:r>
      <w:r>
        <w:t xml:space="preserve"> </w:t>
      </w:r>
      <w:r>
        <w:t xml:space="preserve">“</w:t>
      </w:r>
      <w:r>
        <w:t xml:space="preserve">Petri dish</w:t>
      </w:r>
      <w:r>
        <w:t xml:space="preserve">”</w:t>
      </w:r>
      <w:r>
        <w:t xml:space="preserve">) attract laser-spot misclassifications.</w:t>
      </w:r>
    </w:p>
    <w:p>
      <w:r>
        <w:pict>
          <v:rect style="width:0;height:1.5pt" o:hralign="center" o:hrstd="t" o:hr="t"/>
        </w:pict>
      </w:r>
    </w:p>
    <w:bookmarkEnd w:id="23"/>
    <w:bookmarkStart w:id="28" w:name="results"/>
    <w:p>
      <w:pPr>
        <w:pStyle w:val="Heading2"/>
      </w:pPr>
      <w:r>
        <w:t xml:space="preserve">4. Results</w:t>
      </w:r>
    </w:p>
    <w:bookmarkStart w:id="24" w:name="X0060b99790bc4d993ce5ba8e5e964b376cc05b8"/>
    <w:p>
      <w:pPr>
        <w:pStyle w:val="Heading3"/>
      </w:pPr>
      <w:r>
        <w:t xml:space="preserve">4.1 Color ablation (Step 5) — 30 images × 4 colors, 120 runs total</w:t>
      </w:r>
    </w:p>
    <w:p>
      <w:pPr>
        <w:pStyle w:val="FirstParagraph"/>
      </w:pPr>
      <w:r>
        <w:rPr>
          <w:iCs/>
          <w:i/>
        </w:rPr>
        <w:t xml:space="preserve">Settings: 35 spots, population 30, generations 100 (max 3,000 queries/image)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Color</w:t>
            </w:r>
          </w:p>
        </w:tc>
        <w:tc>
          <w:tcPr/>
          <w:p>
            <w:pPr>
              <w:pStyle w:val="Compact"/>
              <w:jc w:val="left"/>
            </w:pPr>
            <w:r>
              <w:t xml:space="preserve">ASR</w:t>
            </w:r>
          </w:p>
        </w:tc>
        <w:tc>
          <w:tcPr/>
          <w:p>
            <w:pPr>
              <w:pStyle w:val="Compact"/>
              <w:jc w:val="left"/>
            </w:pPr>
            <w:r>
              <w:t xml:space="preserve">Avg. Queries (successes only)</w:t>
            </w:r>
          </w:p>
        </w:tc>
      </w:tr>
      <w:tr>
        <w:tc>
          <w:tcPr/>
          <w:p>
            <w:pPr>
              <w:pStyle w:val="Compact"/>
              <w:jc w:val="left"/>
            </w:pPr>
            <w:r>
              <w:t xml:space="preserve">Random</w:t>
            </w:r>
          </w:p>
        </w:tc>
        <w:tc>
          <w:tcPr/>
          <w:p>
            <w:pPr>
              <w:pStyle w:val="Compact"/>
              <w:jc w:val="left"/>
            </w:pPr>
            <w:r>
              <w:t xml:space="preserve">46.7%</w:t>
            </w:r>
          </w:p>
        </w:tc>
        <w:tc>
          <w:tcPr/>
          <w:p>
            <w:pPr>
              <w:pStyle w:val="Compact"/>
              <w:jc w:val="left"/>
            </w:pPr>
            <w:r>
              <w:t xml:space="preserve">603.6</w:t>
            </w:r>
          </w:p>
        </w:tc>
      </w:tr>
      <w:tr>
        <w:tc>
          <w:tcPr/>
          <w:p>
            <w:pPr>
              <w:pStyle w:val="Compact"/>
              <w:jc w:val="left"/>
            </w:pPr>
            <w:r>
              <w:t xml:space="preserve">Red</w:t>
            </w:r>
          </w:p>
        </w:tc>
        <w:tc>
          <w:tcPr/>
          <w:p>
            <w:pPr>
              <w:pStyle w:val="Compact"/>
              <w:jc w:val="left"/>
            </w:pPr>
            <w:r>
              <w:t xml:space="preserve">53.3%</w:t>
            </w:r>
          </w:p>
        </w:tc>
        <w:tc>
          <w:tcPr/>
          <w:p>
            <w:pPr>
              <w:pStyle w:val="Compact"/>
              <w:jc w:val="left"/>
            </w:pPr>
            <w:r>
              <w:t xml:space="preserve">275.6</w:t>
            </w:r>
          </w:p>
        </w:tc>
      </w:tr>
      <w:tr>
        <w:tc>
          <w:tcPr/>
          <w:p>
            <w:pPr>
              <w:pStyle w:val="Compact"/>
              <w:jc w:val="left"/>
            </w:pPr>
            <w:r>
              <w:t xml:space="preserve">Green</w:t>
            </w:r>
          </w:p>
        </w:tc>
        <w:tc>
          <w:tcPr/>
          <w:p>
            <w:pPr>
              <w:pStyle w:val="Compact"/>
              <w:jc w:val="left"/>
            </w:pPr>
            <w:r>
              <w:rPr>
                <w:bCs/>
                <w:b/>
              </w:rPr>
              <w:t xml:space="preserve">56.7%</w:t>
            </w:r>
          </w:p>
        </w:tc>
        <w:tc>
          <w:tcPr/>
          <w:p>
            <w:pPr>
              <w:pStyle w:val="Compact"/>
              <w:jc w:val="left"/>
            </w:pPr>
            <w:r>
              <w:t xml:space="preserve">385.3</w:t>
            </w:r>
          </w:p>
        </w:tc>
      </w:tr>
      <w:tr>
        <w:tc>
          <w:tcPr/>
          <w:p>
            <w:pPr>
              <w:pStyle w:val="Compact"/>
              <w:jc w:val="left"/>
            </w:pPr>
            <w:r>
              <w:t xml:space="preserve">Blue</w:t>
            </w:r>
          </w:p>
        </w:tc>
        <w:tc>
          <w:tcPr/>
          <w:p>
            <w:pPr>
              <w:pStyle w:val="Compact"/>
              <w:jc w:val="left"/>
            </w:pPr>
            <w:r>
              <w:t xml:space="preserve">53.3%</w:t>
            </w:r>
          </w:p>
        </w:tc>
        <w:tc>
          <w:tcPr/>
          <w:p>
            <w:pPr>
              <w:pStyle w:val="Compact"/>
              <w:jc w:val="left"/>
            </w:pPr>
            <w:r>
              <w:t xml:space="preserve">246.5</w:t>
            </w:r>
          </w:p>
        </w:tc>
      </w:tr>
    </w:tbl>
    <w:p>
      <w:pPr>
        <w:pStyle w:val="BodyText"/>
      </w:pPr>
      <w:r>
        <w:rPr>
          <w:bCs/>
          <w:b/>
        </w:rPr>
        <w:t xml:space="preserve">Paper’s reported values (Table 1, digital environment):</w:t>
      </w:r>
      <w:r>
        <w:t xml:space="preserve"> </w:t>
      </w:r>
      <w:r>
        <w:t xml:space="preserve">Random 75.8%, Red 82.6%, Green 87.7%, Blue 78.7% (queries ~140–240).</w:t>
      </w:r>
    </w:p>
    <w:bookmarkEnd w:id="24"/>
    <w:bookmarkStart w:id="25" w:name="X6e2bac82d9157b593139e078c803ac3ea1e5614"/>
    <w:p>
      <w:pPr>
        <w:pStyle w:val="Heading3"/>
      </w:pPr>
      <w:r>
        <w:t xml:space="preserve">4.2 Number-of-spots ablation (Step 6) — 15 images × 3 spot counts, 45 runs total</w:t>
      </w:r>
    </w:p>
    <w:p>
      <w:pPr>
        <w:pStyle w:val="FirstParagraph"/>
      </w:pPr>
      <w:r>
        <w:rPr>
          <w:iCs/>
          <w:i/>
        </w:rPr>
        <w:t xml:space="preserve">Color: green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Spots</w:t>
            </w:r>
          </w:p>
        </w:tc>
        <w:tc>
          <w:tcPr/>
          <w:p>
            <w:pPr>
              <w:pStyle w:val="Compact"/>
              <w:jc w:val="left"/>
            </w:pPr>
            <w:r>
              <w:t xml:space="preserve">ASR</w:t>
            </w:r>
          </w:p>
        </w:tc>
        <w:tc>
          <w:tcPr/>
          <w:p>
            <w:pPr>
              <w:pStyle w:val="Compact"/>
              <w:jc w:val="left"/>
            </w:pPr>
            <w:r>
              <w:t xml:space="preserve">Avg. Queries (successes only)</w:t>
            </w:r>
          </w:p>
        </w:tc>
      </w:tr>
      <w:tr>
        <w:tc>
          <w:tcPr/>
          <w:p>
            <w:pPr>
              <w:pStyle w:val="Compact"/>
              <w:jc w:val="left"/>
            </w:pPr>
            <w:r>
              <w:t xml:space="preserve">5</w:t>
            </w:r>
          </w:p>
        </w:tc>
        <w:tc>
          <w:tcPr/>
          <w:p>
            <w:pPr>
              <w:pStyle w:val="Compact"/>
              <w:jc w:val="left"/>
            </w:pPr>
            <w:r>
              <w:t xml:space="preserve">33.3%</w:t>
            </w:r>
          </w:p>
        </w:tc>
        <w:tc>
          <w:tcPr/>
          <w:p>
            <w:pPr>
              <w:pStyle w:val="Compact"/>
              <w:jc w:val="left"/>
            </w:pPr>
            <w:r>
              <w:t xml:space="preserve">334.0</w:t>
            </w:r>
          </w:p>
        </w:tc>
      </w:tr>
      <w:tr>
        <w:tc>
          <w:tcPr/>
          <w:p>
            <w:pPr>
              <w:pStyle w:val="Compact"/>
              <w:jc w:val="left"/>
            </w:pPr>
            <w:r>
              <w:t xml:space="preserve">20</w:t>
            </w:r>
          </w:p>
        </w:tc>
        <w:tc>
          <w:tcPr/>
          <w:p>
            <w:pPr>
              <w:pStyle w:val="Compact"/>
              <w:jc w:val="left"/>
            </w:pPr>
            <w:r>
              <w:t xml:space="preserve">40.0%</w:t>
            </w:r>
          </w:p>
        </w:tc>
        <w:tc>
          <w:tcPr/>
          <w:p>
            <w:pPr>
              <w:pStyle w:val="Compact"/>
              <w:jc w:val="left"/>
            </w:pPr>
            <w:r>
              <w:t xml:space="preserve">147.2</w:t>
            </w:r>
          </w:p>
        </w:tc>
      </w:tr>
      <w:tr>
        <w:tc>
          <w:tcPr/>
          <w:p>
            <w:pPr>
              <w:pStyle w:val="Compact"/>
              <w:jc w:val="left"/>
            </w:pPr>
            <w:r>
              <w:t xml:space="preserve">50</w:t>
            </w:r>
          </w:p>
        </w:tc>
        <w:tc>
          <w:tcPr/>
          <w:p>
            <w:pPr>
              <w:pStyle w:val="Compact"/>
              <w:jc w:val="left"/>
            </w:pPr>
            <w:r>
              <w:rPr>
                <w:bCs/>
                <w:b/>
              </w:rPr>
              <w:t xml:space="preserve">53.3%</w:t>
            </w:r>
          </w:p>
        </w:tc>
        <w:tc>
          <w:tcPr/>
          <w:p>
            <w:pPr>
              <w:pStyle w:val="Compact"/>
              <w:jc w:val="left"/>
            </w:pPr>
            <w:r>
              <w:t xml:space="preserve">206.0</w:t>
            </w:r>
          </w:p>
        </w:tc>
      </w:tr>
    </w:tbl>
    <w:p>
      <w:pPr>
        <w:pStyle w:val="BodyText"/>
      </w:pPr>
      <w:r>
        <w:rPr>
          <w:bCs/>
          <w:b/>
        </w:rPr>
        <w:t xml:space="preserve">Paper’s finding (Figure 8):</w:t>
      </w:r>
      <w:r>
        <w:t xml:space="preserve"> </w:t>
      </w:r>
      <w:r>
        <w:t xml:space="preserve">ASR rises steadily with more spots, from ~40% at 5 spots up to ~85–90% approaching 50–100 spots.</w:t>
      </w:r>
      <w:r>
        <w:t xml:space="preserve"> </w:t>
      </w:r>
      <w:r>
        <w:rPr>
          <w:bCs/>
          <w:b/>
        </w:rPr>
        <w:t xml:space="preserve">Trend direction matches.</w:t>
      </w:r>
    </w:p>
    <w:bookmarkEnd w:id="25"/>
    <w:bookmarkStart w:id="26" w:name="attack-transferability-step-7-15-images"/>
    <w:p>
      <w:pPr>
        <w:pStyle w:val="Heading3"/>
      </w:pPr>
      <w:r>
        <w:t xml:space="preserve">4.3 Attack transferability (Step 7) — 15 images</w:t>
      </w:r>
    </w:p>
    <w:p>
      <w:pPr>
        <w:pStyle w:val="FirstParagraph"/>
      </w:pPr>
      <w:r>
        <w:rPr>
          <w:iCs/>
          <w:i/>
        </w:rPr>
        <w:t xml:space="preserve">Color: green, 35 spots</w:t>
      </w:r>
    </w:p>
    <w:p>
      <w:pPr>
        <w:numPr>
          <w:ilvl w:val="0"/>
          <w:numId w:val="1002"/>
        </w:numPr>
        <w:pStyle w:val="Compact"/>
      </w:pPr>
      <w:r>
        <w:t xml:space="preserve">Source (ResNet50) ASR: 53.3% (8/15 images)</w:t>
      </w:r>
    </w:p>
    <w:p>
      <w:pPr>
        <w:numPr>
          <w:ilvl w:val="0"/>
          <w:numId w:val="1002"/>
        </w:numPr>
        <w:pStyle w:val="Compact"/>
      </w:pPr>
      <w:r>
        <w:t xml:space="preserve">Of those 8 successful attacks, transfer rates to other architectures: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Target Model</w:t>
            </w:r>
          </w:p>
        </w:tc>
        <w:tc>
          <w:tcPr/>
          <w:p>
            <w:pPr>
              <w:pStyle w:val="Compact"/>
              <w:jc w:val="left"/>
            </w:pPr>
            <w:r>
              <w:t xml:space="preserve">Transfer Rate</w:t>
            </w:r>
          </w:p>
        </w:tc>
      </w:tr>
      <w:tr>
        <w:tc>
          <w:tcPr/>
          <w:p>
            <w:pPr>
              <w:pStyle w:val="Compact"/>
              <w:jc w:val="left"/>
            </w:pPr>
            <w:r>
              <w:t xml:space="preserve">VGG19</w:t>
            </w:r>
          </w:p>
        </w:tc>
        <w:tc>
          <w:tcPr/>
          <w:p>
            <w:pPr>
              <w:pStyle w:val="Compact"/>
              <w:jc w:val="left"/>
            </w:pPr>
            <w:r>
              <w:t xml:space="preserve">75.0%</w:t>
            </w:r>
          </w:p>
        </w:tc>
      </w:tr>
      <w:tr>
        <w:tc>
          <w:tcPr/>
          <w:p>
            <w:pPr>
              <w:pStyle w:val="Compact"/>
              <w:jc w:val="left"/>
            </w:pPr>
            <w:r>
              <w:t xml:space="preserve">MobileNet</w:t>
            </w:r>
          </w:p>
        </w:tc>
        <w:tc>
          <w:tcPr/>
          <w:p>
            <w:pPr>
              <w:pStyle w:val="Compact"/>
              <w:jc w:val="left"/>
            </w:pPr>
            <w:r>
              <w:t xml:space="preserve">62.5%</w:t>
            </w:r>
          </w:p>
        </w:tc>
      </w:tr>
      <w:tr>
        <w:tc>
          <w:tcPr/>
          <w:p>
            <w:pPr>
              <w:pStyle w:val="Compact"/>
              <w:jc w:val="left"/>
            </w:pPr>
            <w:r>
              <w:t xml:space="preserve">DenseNet</w:t>
            </w:r>
          </w:p>
        </w:tc>
        <w:tc>
          <w:tcPr/>
          <w:p>
            <w:pPr>
              <w:pStyle w:val="Compact"/>
              <w:jc w:val="left"/>
            </w:pPr>
            <w:r>
              <w:t xml:space="preserve">50.0%</w:t>
            </w:r>
          </w:p>
        </w:tc>
      </w:tr>
    </w:tbl>
    <w:p>
      <w:pPr>
        <w:pStyle w:val="BodyText"/>
      </w:pPr>
      <w:r>
        <w:rPr>
          <w:bCs/>
          <w:b/>
        </w:rPr>
        <w:t xml:space="preserve">Paper’s reported value (Table 3, green column, VGG19):</w:t>
      </w:r>
      <w:r>
        <w:t xml:space="preserve"> </w:t>
      </w:r>
      <w:r>
        <w:t xml:space="preserve">83.2% — reasonably close given the small sample (8 successes).</w:t>
      </w:r>
    </w:p>
    <w:bookmarkEnd w:id="26"/>
    <w:bookmarkStart w:id="27" w:name="X37861a08a3ed55644fc19ac35bccfa592bbfe2e"/>
    <w:p>
      <w:pPr>
        <w:pStyle w:val="Heading3"/>
      </w:pPr>
      <w:r>
        <w:t xml:space="preserve">4.4 Misclassification semantic analysis (Step 8) — 40 images</w:t>
      </w:r>
    </w:p>
    <w:p>
      <w:pPr>
        <w:pStyle w:val="FirstParagraph"/>
      </w:pPr>
      <w:r>
        <w:rPr>
          <w:iCs/>
          <w:i/>
        </w:rPr>
        <w:t xml:space="preserve">Color: green, 35 spots</w:t>
      </w:r>
    </w:p>
    <w:p>
      <w:pPr>
        <w:numPr>
          <w:ilvl w:val="0"/>
          <w:numId w:val="1003"/>
        </w:numPr>
        <w:pStyle w:val="Compact"/>
      </w:pPr>
      <w:r>
        <w:t xml:space="preserve">ASR: 47.5% (19/40 images)</w:t>
      </w:r>
    </w:p>
    <w:p>
      <w:pPr>
        <w:numPr>
          <w:ilvl w:val="0"/>
          <w:numId w:val="1003"/>
        </w:numPr>
        <w:pStyle w:val="Compact"/>
      </w:pPr>
      <w:r>
        <w:t xml:space="preserve">Most repeated wrong label:</w:t>
      </w:r>
      <w:r>
        <w:t xml:space="preserve"> </w:t>
      </w:r>
      <w:r>
        <w:rPr>
          <w:bCs/>
          <w:b/>
        </w:rPr>
        <w:t xml:space="preserve">“</w:t>
      </w:r>
      <w:r>
        <w:rPr>
          <w:bCs/>
          <w:b/>
        </w:rPr>
        <w:t xml:space="preserve">croquet ball</w:t>
      </w:r>
      <w:r>
        <w:rPr>
          <w:bCs/>
          <w:b/>
        </w:rPr>
        <w:t xml:space="preserve">”</w:t>
      </w:r>
      <w:r>
        <w:t xml:space="preserve"> </w:t>
      </w:r>
      <w:r>
        <w:t xml:space="preserve">(3 of 19 successes, 15.8%) — a small, brightly colored, round object.</w:t>
      </w:r>
    </w:p>
    <w:p>
      <w:pPr>
        <w:numPr>
          <w:ilvl w:val="0"/>
          <w:numId w:val="1003"/>
        </w:numPr>
        <w:pStyle w:val="Compact"/>
      </w:pPr>
      <w:r>
        <w:t xml:space="preserve">All other wrong labels appeared once each (sample too small for further repetition).</w:t>
      </w:r>
    </w:p>
    <w:p>
      <w:pPr>
        <w:pStyle w:val="FirstParagraph"/>
      </w:pPr>
      <w:r>
        <w:rPr>
          <w:bCs/>
          <w:b/>
        </w:rPr>
        <w:t xml:space="preserve">Paper’s finding (Figure 5/9):</w:t>
      </w:r>
      <w:r>
        <w:t xml:space="preserve"> </w:t>
      </w:r>
      <w:r>
        <w:t xml:space="preserve">classifiers most often mistake laser-spotted images for small, round, shiny/colorful objects —</w:t>
      </w:r>
      <w:r>
        <w:t xml:space="preserve"> </w:t>
      </w:r>
      <w:r>
        <w:t xml:space="preserve">“</w:t>
      </w:r>
      <w:r>
        <w:t xml:space="preserve">Bubble,</w:t>
      </w:r>
      <w:r>
        <w:t xml:space="preserve">”</w:t>
      </w:r>
      <w:r>
        <w:t xml:space="preserve"> </w:t>
      </w:r>
      <w:r>
        <w:t xml:space="preserve">“</w:t>
      </w:r>
      <w:r>
        <w:t xml:space="preserve">Envelope,</w:t>
      </w:r>
      <w:r>
        <w:t xml:space="preserve">”</w:t>
      </w:r>
      <w:r>
        <w:t xml:space="preserve"> </w:t>
      </w:r>
      <w:r>
        <w:t xml:space="preserve">“</w:t>
      </w:r>
      <w:r>
        <w:t xml:space="preserve">Petri dish,</w:t>
      </w:r>
      <w:r>
        <w:t xml:space="preserve">”</w:t>
      </w:r>
      <w:r>
        <w:t xml:space="preserve"> </w:t>
      </w:r>
      <w:r>
        <w:t xml:space="preserve">“</w:t>
      </w:r>
      <w:r>
        <w:t xml:space="preserve">Hair slide.</w:t>
      </w:r>
      <w:r>
        <w:t xml:space="preserve">”</w:t>
      </w:r>
      <w:r>
        <w:t xml:space="preserve"> </w:t>
      </w:r>
      <w:r>
        <w:rPr>
          <w:bCs/>
          <w:b/>
        </w:rPr>
        <w:t xml:space="preserve">“</w:t>
      </w:r>
      <w:r>
        <w:rPr>
          <w:bCs/>
          <w:b/>
        </w:rPr>
        <w:t xml:space="preserve">Croquet ball</w:t>
      </w:r>
      <w:r>
        <w:rPr>
          <w:bCs/>
          <w:b/>
        </w:rPr>
        <w:t xml:space="preserve">”</w:t>
      </w:r>
      <w:r>
        <w:rPr>
          <w:bCs/>
          <w:b/>
        </w:rPr>
        <w:t xml:space="preserve"> </w:t>
      </w:r>
      <w:r>
        <w:rPr>
          <w:bCs/>
          <w:b/>
        </w:rPr>
        <w:t xml:space="preserve">fits this same visual pattern</w:t>
      </w:r>
      <w:r>
        <w:t xml:space="preserve">, supporting the paper’s qualitative explanation even at small sample size.</w:t>
      </w:r>
    </w:p>
    <w:p>
      <w:r>
        <w:pict>
          <v:rect style="width:0;height:1.5pt" o:hralign="center" o:hrstd="t" o:hr="t"/>
        </w:pict>
      </w:r>
    </w:p>
    <w:bookmarkEnd w:id="27"/>
    <w:bookmarkEnd w:id="28"/>
    <w:bookmarkStart w:id="29" w:name="X7de4ed440c13a5035b81b6d7dd10dfbf3a57b5b"/>
    <w:p>
      <w:pPr>
        <w:pStyle w:val="Heading2"/>
      </w:pPr>
      <w:r>
        <w:t xml:space="preserve">5. Comparison to the Paper: What Matched and What Didn’t</w:t>
      </w:r>
    </w:p>
    <w:p>
      <w:pPr>
        <w:pStyle w:val="FirstParagraph"/>
      </w:pPr>
      <w:r>
        <w:rPr>
          <w:bCs/>
          <w:b/>
        </w:rPr>
        <w:t xml:space="preserve">Matched (qualitatively, in every experiment):</w:t>
      </w:r>
      <w:r>
        <w:t xml:space="preserve"> </w:t>
      </w:r>
      <w:r>
        <w:t xml:space="preserve">- Fixed spot colors outperform random color</w:t>
      </w:r>
      <w:r>
        <w:t xml:space="preserve"> </w:t>
      </w:r>
      <w:r>
        <w:t xml:space="preserve">- More spots → higher attack success rate</w:t>
      </w:r>
      <w:r>
        <w:t xml:space="preserve"> </w:t>
      </w:r>
      <w:r>
        <w:t xml:space="preserve">- Successful attacks transfer to unrelated architectures at meaningfully high rates</w:t>
      </w:r>
      <w:r>
        <w:t xml:space="preserve"> </w:t>
      </w:r>
      <w:r>
        <w:t xml:space="preserve">- Misclassifications cluster around small, round, visually</w:t>
      </w:r>
      <w:r>
        <w:t xml:space="preserve"> </w:t>
      </w:r>
      <w:r>
        <w:t xml:space="preserve">“</w:t>
      </w:r>
      <w:r>
        <w:t xml:space="preserve">spot-like</w:t>
      </w:r>
      <w:r>
        <w:t xml:space="preserve">”</w:t>
      </w:r>
      <w:r>
        <w:t xml:space="preserve"> </w:t>
      </w:r>
      <w:r>
        <w:t xml:space="preserve">object categories</w:t>
      </w:r>
    </w:p>
    <w:p>
      <w:pPr>
        <w:pStyle w:val="BodyText"/>
      </w:pPr>
      <w:r>
        <w:rPr>
          <w:bCs/>
          <w:b/>
        </w:rPr>
        <w:t xml:space="preserve">Did not match (quantitatively):</w:t>
      </w:r>
      <w:r>
        <w:t xml:space="preserve"> </w:t>
      </w:r>
      <w:r>
        <w:t xml:space="preserve">- Absolute ASR values were consistently lower than the paper’s (roughly 40–57% here vs. 75–95% reported)</w:t>
      </w:r>
      <w:r>
        <w:t xml:space="preserve"> </w:t>
      </w:r>
      <w:r>
        <w:t xml:space="preserve">- Query efficiency was generally worse (100s–600s average vs. their ~140–240)</w:t>
      </w:r>
    </w:p>
    <w:p>
      <w:pPr>
        <w:pStyle w:val="BodyText"/>
      </w:pPr>
      <w:r>
        <w:rPr>
          <w:bCs/>
          <w:b/>
        </w:rPr>
        <w:t xml:space="preserve">Most likely explanation:</w:t>
      </w:r>
      <w:r>
        <w:t xml:space="preserve"> </w:t>
      </w:r>
      <w:r>
        <w:t xml:space="preserve">compute budget. This reimplementation ran on CPU with population 20–30 and up to 100 generations (≤3,000 queries/image), and used sample sizes of 15–40 images per experiment. The paper’s exact GA hyperparameters (population size, generation count) aren’t fully specified, and their absolute scale (1,000 images, spot sweeps to 100) would require an estimated</w:t>
      </w:r>
      <w:r>
        <w:t xml:space="preserve"> </w:t>
      </w:r>
      <w:r>
        <w:rPr>
          <w:bCs/>
          <w:b/>
        </w:rPr>
        <w:t xml:space="preserve">5+ days of continuous CPU runtime</w:t>
      </w:r>
      <w:r>
        <w:t xml:space="preserve"> </w:t>
      </w:r>
      <w:r>
        <w:t xml:space="preserve">to reproduce exactly on this hardware — likely indicating they used GPU acceleration and/or larger search budgets.</w:t>
      </w:r>
    </w:p>
    <w:p>
      <w:r>
        <w:pict>
          <v:rect style="width:0;height:1.5pt" o:hralign="center" o:hrstd="t" o:hr="t"/>
        </w:pict>
      </w:r>
    </w:p>
    <w:bookmarkEnd w:id="29"/>
    <w:bookmarkStart w:id="30" w:name="conclusion"/>
    <w:p>
      <w:pPr>
        <w:pStyle w:val="Heading2"/>
      </w:pPr>
      <w:r>
        <w:t xml:space="preserve">6. Conclusion</w:t>
      </w:r>
    </w:p>
    <w:p>
      <w:pPr>
        <w:pStyle w:val="FirstParagraph"/>
      </w:pPr>
      <w:r>
        <w:t xml:space="preserve">All eight stages of the AdvLS pipeline were implemented, tested, and run end-to-end in a fully digital simulation — including the</w:t>
      </w:r>
      <w:r>
        <w:t xml:space="preserve"> </w:t>
      </w:r>
      <w:r>
        <w:t xml:space="preserve">“</w:t>
      </w:r>
      <w:r>
        <w:t xml:space="preserve">physical-world</w:t>
      </w:r>
      <w:r>
        <w:t xml:space="preserve">”</w:t>
      </w:r>
      <w:r>
        <w:t xml:space="preserve"> </w:t>
      </w:r>
      <w:r>
        <w:t xml:space="preserve">component, which was replaced by directly rendering spots onto photographs rather than using physical laser pointers. Every major qualitative finding from the paper was reproduced at smaller scale: color sensitivity, spot-count scaling, cross-architecture transferability, and the semantic pattern behind misclassifications. Absolute performance numbers (ASR, query efficiency) fall short of the paper’s published results, consistent with the smaller sample sizes and search budgets used here due to CPU-only, single-laptop constraints.</w:t>
      </w:r>
    </w:p>
    <w:p>
      <w:pPr>
        <w:pStyle w:val="BodyText"/>
      </w:pPr>
      <w:r>
        <w:t xml:space="preserve">A larger-scale run (~200 images per experiment) was scoped but not completed, estimated at roughly 1–1.5 days of continuous runtime per experiment on the available hardware.</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2026-09-09T11:40:50Z</dcterms:created>
  <dcterms:modified xsi:type="dcterms:W3CDTF">2026-09-09T11:40:50Z</dcterms:modified>
</cp:coreProperties>
</file>

<file path=docProps/custom.xml><?xml version="1.0" encoding="utf-8"?>
<Properties xmlns="http://schemas.openxmlformats.org/officeDocument/2006/custom-properties" xmlns:vt="http://schemas.openxmlformats.org/officeDocument/2006/docPropsVTypes"/>
</file>