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harts/chart1.xml" ContentType="application/vnd.openxmlformats-officedocument.drawingml.chart+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79f3368820ff455b"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02B4ABAE" w14:textId="47062AD2" w:rsidR="00C8652E" w:rsidRPr="00EE426C" w:rsidRDefault="00CE75CB" w:rsidP="002C648B">
      <w:pPr>
        <w:pStyle w:val="papertitle"/>
      </w:pPr>
      <w:r>
        <w:t>The Structure and Behaviour of the Continuous Double Auction</w:t>
      </w:r>
    </w:p>
    <w:p w14:paraId="682AE17D" w14:textId="2D0E2D50" w:rsidR="00C8652E" w:rsidRPr="00EE426C" w:rsidRDefault="0052564C" w:rsidP="00C8652E">
      <w:pPr>
        <w:pStyle w:val="author"/>
      </w:pPr>
      <w:r>
        <w:t>Sanyam Vyas</w:t>
      </w:r>
      <w:r>
        <w:rPr>
          <w:rStyle w:val="ORCID"/>
        </w:rPr>
        <w:t>1</w:t>
      </w:r>
    </w:p>
    <w:p w14:paraId="79FEC12F" w14:textId="33E8D668" w:rsidR="00C8652E" w:rsidRPr="00CE75CB" w:rsidRDefault="00C8652E" w:rsidP="00CE75CB">
      <w:pPr>
        <w:pStyle w:val="address"/>
      </w:pPr>
      <w:r w:rsidRPr="00EE426C">
        <w:rPr>
          <w:vertAlign w:val="superscript"/>
        </w:rPr>
        <w:t>1</w:t>
      </w:r>
      <w:r w:rsidRPr="00EE426C">
        <w:t xml:space="preserve"> </w:t>
      </w:r>
      <w:r w:rsidR="0052564C">
        <w:t>University of Bristol</w:t>
      </w:r>
      <w:r w:rsidRPr="00EE426C">
        <w:t xml:space="preserve">, </w:t>
      </w:r>
      <w:r w:rsidR="0052564C">
        <w:t>Bristol BS8 1TH</w:t>
      </w:r>
      <w:r w:rsidRPr="00EE426C">
        <w:t>, U</w:t>
      </w:r>
      <w:r w:rsidR="0052564C">
        <w:t>nited Kingdom</w:t>
      </w:r>
      <w:r w:rsidRPr="006809AE">
        <w:rPr>
          <w:lang w:val="de-DE"/>
        </w:rPr>
        <w:br/>
      </w:r>
      <w:r w:rsidR="00CE75CB">
        <w:rPr>
          <w:rStyle w:val="e-mail"/>
        </w:rPr>
        <w:t>sv17657@bristol.ac.uk</w:t>
      </w:r>
    </w:p>
    <w:p w14:paraId="556B56D8" w14:textId="77777777" w:rsidR="00C0295E" w:rsidRPr="00EE426C" w:rsidRDefault="00C8652E" w:rsidP="00C0295E">
      <w:pPr>
        <w:pStyle w:val="abstract"/>
        <w:spacing w:after="0"/>
        <w:ind w:firstLine="0"/>
      </w:pPr>
      <w:r w:rsidRPr="00EE426C">
        <w:rPr>
          <w:b/>
          <w:bCs/>
        </w:rPr>
        <w:t xml:space="preserve">Abstract. </w:t>
      </w:r>
      <w:r w:rsidR="00C0295E">
        <w:t>Automated trading strategies have been extensively researched in the last three decades, simulated agent models have been utilised and have improved over time. This paper implements an automated trading algorithm which is inspired by the Gjerstad-Dickhaut (GD) algorithm. Important modifications have been made to the implemented GD algorithm in order to improve the performance of the model in a continuous double auction (CDA) environment. The results of this algorithm performance have been conducted through statistical comparisons with other trading strategies like Giveaway, Shaver, Sniper, Zero Intelligence Constrained (ZIC) and Zero Intelligence Plus (ZIP). The algorithm implementation along with statistical analysis have been conducted in Bristol Stock Exchange which is a minimal simulation of a limit-order-book financial exchange.</w:t>
      </w:r>
    </w:p>
    <w:p w14:paraId="4591C223" w14:textId="7C3230B6" w:rsidR="00FE0B72" w:rsidRPr="00EE426C" w:rsidRDefault="00FE0B72" w:rsidP="00FE0B72">
      <w:pPr>
        <w:pStyle w:val="abstract"/>
        <w:spacing w:after="0"/>
        <w:ind w:firstLine="0"/>
      </w:pPr>
    </w:p>
    <w:p w14:paraId="4705833B" w14:textId="23480E14" w:rsidR="00C8652E" w:rsidRPr="00EE426C" w:rsidRDefault="00C8652E" w:rsidP="00C8652E">
      <w:pPr>
        <w:pStyle w:val="keywords"/>
      </w:pPr>
      <w:r w:rsidRPr="00EE426C">
        <w:rPr>
          <w:b/>
          <w:bCs/>
        </w:rPr>
        <w:t>Keywords:</w:t>
      </w:r>
      <w:r w:rsidRPr="00EE426C">
        <w:t xml:space="preserve"> </w:t>
      </w:r>
      <w:r w:rsidR="00CD7EAA">
        <w:t>A</w:t>
      </w:r>
      <w:r w:rsidR="00C0295E">
        <w:t>utomated</w:t>
      </w:r>
      <w:r w:rsidR="00CD7EAA">
        <w:t xml:space="preserve"> T</w:t>
      </w:r>
      <w:r w:rsidR="00C0295E">
        <w:t>rading</w:t>
      </w:r>
      <w:r w:rsidRPr="00EE426C">
        <w:t xml:space="preserve">, </w:t>
      </w:r>
      <w:r w:rsidR="00CD7EAA">
        <w:t>G</w:t>
      </w:r>
      <w:r w:rsidR="00C0295E">
        <w:t>jerstad-</w:t>
      </w:r>
      <w:r w:rsidR="00CD7EAA">
        <w:t>D</w:t>
      </w:r>
      <w:r w:rsidR="00C0295E">
        <w:t>ickhaut,</w:t>
      </w:r>
      <w:r>
        <w:t xml:space="preserve"> </w:t>
      </w:r>
      <w:r w:rsidR="00CD7EAA">
        <w:t>Auction Markets</w:t>
      </w:r>
      <w:r>
        <w:t>.</w:t>
      </w:r>
    </w:p>
    <w:p w14:paraId="3988444D" w14:textId="242327E4" w:rsidR="00C8652E" w:rsidRDefault="00882458" w:rsidP="00774AA9">
      <w:pPr>
        <w:pStyle w:val="heading1"/>
      </w:pPr>
      <w:r>
        <w:t>Background</w:t>
      </w:r>
    </w:p>
    <w:p w14:paraId="498F5C5A" w14:textId="137DB342" w:rsidR="00CD7EAA" w:rsidRDefault="00C0295E" w:rsidP="00F64AAA">
      <w:pPr>
        <w:pStyle w:val="p1a"/>
      </w:pPr>
      <w:r>
        <w:t>Double auctions have been extensively used in the stock markets of several countries, including</w:t>
      </w:r>
      <w:r w:rsidR="00CD7EAA">
        <w:t xml:space="preserve"> NYSE, recognised as</w:t>
      </w:r>
      <w:r>
        <w:t xml:space="preserve"> New York Stock Exchange</w:t>
      </w:r>
      <w:r w:rsidR="00CD7EAA">
        <w:t>.</w:t>
      </w:r>
      <w:r>
        <w:t xml:space="preserve"> </w:t>
      </w:r>
      <w:r w:rsidR="00CD7EAA">
        <w:t xml:space="preserve">It is also used in markets for financial instruments such as options and futures. Within a double auction trading period, a seller or a buyer an submit an offer that is monitored by every other buyer and a seller </w:t>
      </w:r>
      <w:r w:rsidR="00CE31E3">
        <w:t>who is in the market. Offers are accepted at any time during the trading period by the seller by the buyer while a sellers ask can be accepted at any time by the buyer depending on the respective allocated shares/budget of the traders.</w:t>
      </w:r>
    </w:p>
    <w:p w14:paraId="5852B3BB" w14:textId="77777777" w:rsidR="00CE31E3" w:rsidRPr="00CE31E3" w:rsidRDefault="00CE31E3" w:rsidP="00CE31E3"/>
    <w:p w14:paraId="73BE29E5" w14:textId="178F3AA0" w:rsidR="00F64AAA" w:rsidRDefault="00CD7EAA" w:rsidP="00F64AAA">
      <w:pPr>
        <w:pStyle w:val="p1a"/>
      </w:pPr>
      <w:r>
        <w:t>Traditionally, human traders interacted amongst each other</w:t>
      </w:r>
      <w:r w:rsidR="000F7FF1">
        <w:t xml:space="preserve"> in a continuous double</w:t>
      </w:r>
      <w:r w:rsidR="005A4ED2">
        <w:t xml:space="preserve"> auctions</w:t>
      </w:r>
      <w:r>
        <w:t xml:space="preserve"> to finalise transactions a given share</w:t>
      </w:r>
      <w:r w:rsidR="005A4ED2">
        <w:t>. H</w:t>
      </w:r>
      <w:r>
        <w:t>owever, human traders have been replaced by automated trading systems</w:t>
      </w:r>
      <w:r w:rsidR="005A4ED2">
        <w:t>, allowing flexibility to handle very high daily order flows. Several investment banking organisations along with hedge funds utilise these trading algorithm and also aim to hire individuals who design the best automated traders.</w:t>
      </w:r>
      <w:r w:rsidR="007C3FA5">
        <w:t xml:space="preserve"> Hence, in order for large firms maximise their profits in this form of trading, the algorithms that produced are not published. </w:t>
      </w:r>
    </w:p>
    <w:p w14:paraId="6CC8BBB4" w14:textId="6BD5CF57" w:rsidR="007C3FA5" w:rsidRDefault="007C3FA5" w:rsidP="007C3FA5">
      <w:pPr>
        <w:ind w:firstLine="0"/>
      </w:pPr>
    </w:p>
    <w:p w14:paraId="04802CA1" w14:textId="77777777" w:rsidR="007C3FA5" w:rsidRPr="007C3FA5" w:rsidRDefault="007C3FA5" w:rsidP="007C3FA5">
      <w:pPr>
        <w:ind w:firstLine="0"/>
      </w:pPr>
    </w:p>
    <w:p w14:paraId="1A8A1F89" w14:textId="129CBA90" w:rsidR="005A4ED2" w:rsidRDefault="00775A6A" w:rsidP="008F4854">
      <w:pPr>
        <w:ind w:firstLine="0"/>
      </w:pPr>
      <w:r>
        <w:lastRenderedPageBreak/>
        <w:t xml:space="preserve">As an algorithm is designed, it requires experimental investigation which focuses on its behaviour and market performance in the CDA. </w:t>
      </w:r>
      <w:r w:rsidR="008F4854">
        <w:t>The first medium of experimental investigation in CDA was designed by Smith in 1962 (cite Vernon smith). Supply and demand conditions were introduced in the market by giving buyers a redemption value for each unit of an abstract commodity purchased. A surplus is given to</w:t>
      </w:r>
      <w:r w:rsidR="00582745">
        <w:t xml:space="preserve"> the buyers that is equivalent to the difference between the purchase price negotiated by a seller and the redemption value. The sellers receive a surplus equal to the difference between their unit cost and the buyer unit purchase price.</w:t>
      </w:r>
      <w:r w:rsidR="004E4E04">
        <w:t xml:space="preserve"> </w:t>
      </w:r>
      <w:r w:rsidR="00FC4C5F">
        <w:t xml:space="preserve">For every trading session, competitive equilibrium price in achieved allowing for the </w:t>
      </w:r>
      <w:r w:rsidR="005646E4">
        <w:t xml:space="preserve">quality of traders being compared. </w:t>
      </w:r>
    </w:p>
    <w:p w14:paraId="21ADD2BF" w14:textId="247AB837" w:rsidR="005646E4" w:rsidRDefault="005646E4" w:rsidP="008F4854">
      <w:pPr>
        <w:ind w:firstLine="0"/>
      </w:pPr>
    </w:p>
    <w:p w14:paraId="5A882A3A" w14:textId="77777777" w:rsidR="006C1DC3" w:rsidRDefault="005646E4" w:rsidP="008F4854">
      <w:pPr>
        <w:ind w:firstLine="0"/>
      </w:pPr>
      <w:r>
        <w:t xml:space="preserve">Several trading algorithms have been published over the last three decades and have been proved to outperform human traders in laboratory-style experiments in trading markets. Trading strategies include ZI ,ZIC(cite </w:t>
      </w:r>
      <w:proofErr w:type="spellStart"/>
      <w:r>
        <w:t>gode</w:t>
      </w:r>
      <w:proofErr w:type="spellEnd"/>
      <w:r>
        <w:t xml:space="preserve"> and sunder), ZIP (cite cliff), GD (cite </w:t>
      </w:r>
      <w:proofErr w:type="spellStart"/>
      <w:r>
        <w:t>gd</w:t>
      </w:r>
      <w:proofErr w:type="spellEnd"/>
      <w:r>
        <w:t xml:space="preserve">), MGD (cite </w:t>
      </w:r>
      <w:proofErr w:type="spellStart"/>
      <w:r>
        <w:t>mgd</w:t>
      </w:r>
      <w:proofErr w:type="spellEnd"/>
      <w:r>
        <w:t xml:space="preserve">) and AA (cite </w:t>
      </w:r>
      <w:proofErr w:type="spellStart"/>
      <w:r>
        <w:t>vytelingum</w:t>
      </w:r>
      <w:proofErr w:type="spellEnd"/>
      <w:r>
        <w:t xml:space="preserve"> thesis). </w:t>
      </w:r>
      <w:r w:rsidR="006C1DC3">
        <w:br/>
        <w:t xml:space="preserve">In this paper, a trading algorithm with a foundation of MGD algorithm has been produced in an attempt to further optimise the quality of trades, statistical analysis has been conducted against other trading algorithms to observe the quality of the algorithm. </w:t>
      </w:r>
    </w:p>
    <w:p w14:paraId="12F9CCC2" w14:textId="34C3CAB4" w:rsidR="005646E4" w:rsidRPr="005A4ED2" w:rsidRDefault="006C1DC3" w:rsidP="008F4854">
      <w:pPr>
        <w:ind w:firstLine="0"/>
      </w:pPr>
      <w:r>
        <w:t>The rest of the paper is structured as follows. Section 2 describes the trading environment used in this paper</w:t>
      </w:r>
      <w:r w:rsidR="006173B9">
        <w:t xml:space="preserve"> in order to test the quality of the algorithm against benchmark algorithms already implemented in the algorithm</w:t>
      </w:r>
      <w:r>
        <w:t>, while section 3 focuses on the how the trading algorithm has been implemented. Section 4 evaluates results and statistical analysis of the implemented algorithm and section 5 presents the conclusions of the implemented model quality and the possible future directions that could be applied to the model.</w:t>
      </w:r>
    </w:p>
    <w:p w14:paraId="5FDA24F9" w14:textId="45B8FA34" w:rsidR="00882458" w:rsidRDefault="00882458" w:rsidP="00882458">
      <w:pPr>
        <w:pStyle w:val="heading1"/>
      </w:pPr>
      <w:r>
        <w:t>Bristol Stock Exchange</w:t>
      </w:r>
    </w:p>
    <w:p w14:paraId="64637E25" w14:textId="51A3E2AF" w:rsidR="006C1DC3" w:rsidRDefault="000F417D" w:rsidP="006C1DC3">
      <w:pPr>
        <w:pStyle w:val="p1a"/>
      </w:pPr>
      <w:r>
        <w:t>The implemented trading algorithm u</w:t>
      </w:r>
      <w:r w:rsidR="00A75A20">
        <w:t>tilises</w:t>
      </w:r>
      <w:r>
        <w:t xml:space="preserve"> Bristol Stock Exchange (BSE)</w:t>
      </w:r>
      <w:r w:rsidR="002C7412">
        <w:t xml:space="preserve"> (cite BSE)</w:t>
      </w:r>
      <w:r>
        <w:t xml:space="preserve"> which is a novel minimal simulation of a centralised financial market, based on a Limit Order Book</w:t>
      </w:r>
      <w:r w:rsidR="00D74E8F">
        <w:t xml:space="preserve"> (LOB)</w:t>
      </w:r>
      <w:r>
        <w:t xml:space="preserve">, a technique that is commonly utilised in several major stock exchanges. The motivation for the implementation of BSE was to allow </w:t>
      </w:r>
      <w:r w:rsidR="002C7412">
        <w:t>experimental probing of an abstract market while functions. The BSE was originally developed</w:t>
      </w:r>
      <w:r w:rsidR="00773AF4">
        <w:t xml:space="preserve"> on Python</w:t>
      </w:r>
      <w:r w:rsidR="002C7412">
        <w:t xml:space="preserve"> and successfully used as resource for students looking to expand their understanding on the contemporary </w:t>
      </w:r>
      <w:r w:rsidR="00D74E8F">
        <w:t xml:space="preserve">financial </w:t>
      </w:r>
      <w:r w:rsidR="002C7412">
        <w:t xml:space="preserve">market </w:t>
      </w:r>
      <w:r w:rsidR="00D74E8F">
        <w:t xml:space="preserve">systems, or for researchers and teachers looking to achieve learning outcomes in students). </w:t>
      </w:r>
    </w:p>
    <w:p w14:paraId="7FF35C56" w14:textId="77777777" w:rsidR="00891F2F" w:rsidRDefault="00D74E8F" w:rsidP="00D74E8F">
      <w:pPr>
        <w:ind w:firstLine="0"/>
      </w:pPr>
      <w:r>
        <w:br/>
      </w:r>
      <w:r w:rsidR="00A75A20">
        <w:t>The BSE comprises of and maintains a single LOB for</w:t>
      </w:r>
      <w:r>
        <w:t xml:space="preserve"> recording limit orders in </w:t>
      </w:r>
      <w:r w:rsidR="00A75A20">
        <w:t xml:space="preserve">a single abstract type of tradeable item, a feature that is used in real financial exchanges (usually for up to thousands of tradeable items). </w:t>
      </w:r>
      <w:r w:rsidR="00891F2F">
        <w:t xml:space="preserve">In particular, a trader is able to issue a new order that immediately replaces any previous order that the trader had on the lob allowing the trader to have at most one order on a LOB at a specific time. Trades are possible as soon as a new order is issued i.e. has zero latency in communications between the traders and the exchange. All trades are then immediately updated in the LOB before any other trader could issue another order. </w:t>
      </w:r>
    </w:p>
    <w:p w14:paraId="313DC335" w14:textId="4D9E8D9E" w:rsidR="00D74E8F" w:rsidRDefault="00A75A20" w:rsidP="00D74E8F">
      <w:pPr>
        <w:ind w:firstLine="0"/>
      </w:pPr>
      <w:r>
        <w:lastRenderedPageBreak/>
        <w:t>The records in the LOB could be controlled by a wide range of dynamics of supply and demand in the BSE market</w:t>
      </w:r>
      <w:r w:rsidR="001615C9">
        <w:t xml:space="preserve">. De Luca et al (cite </w:t>
      </w:r>
      <w:proofErr w:type="spellStart"/>
      <w:r w:rsidR="001615C9">
        <w:t>deluca</w:t>
      </w:r>
      <w:proofErr w:type="spellEnd"/>
      <w:r w:rsidR="001615C9">
        <w:t xml:space="preserve">) and Cartlidge &amp; Cliff (2012) discuss the requirement to explore trading agents in simulated markets that are more realistic used in prior experimental studies. BSE has allowed the possibility to switch between static-equilibrium supply/demand schedules to dynamic variations in the supply and demand schedules while a simultaneous replenishment of orders take place. The continuous customer orders which are given in random stream is a variation to the periodic customer orders which were previously implemented in Vernon-Smith’s experiments (Cite smith 62). </w:t>
      </w:r>
    </w:p>
    <w:p w14:paraId="56ABC0E9" w14:textId="161494AC" w:rsidR="001615C9" w:rsidRDefault="001615C9" w:rsidP="00D74E8F">
      <w:pPr>
        <w:ind w:firstLine="0"/>
      </w:pPr>
    </w:p>
    <w:p w14:paraId="2E983EC9" w14:textId="4B0E435E" w:rsidR="001615C9" w:rsidRDefault="001615C9" w:rsidP="00D74E8F">
      <w:pPr>
        <w:ind w:firstLine="0"/>
      </w:pPr>
      <w:r>
        <w:t>A sample of different robot trading algorithms have been used in BSE</w:t>
      </w:r>
      <w:r w:rsidR="00BD3C2E">
        <w:t>, drawn from literatures from over four decades. The variety of these traders allow for exploring dynamics of LOB-based CDA prior to any new implementations. The current design consists of several “sales traders” which wait for an order to arrive from a customer in order to be processed afterwards, however, the program could be extended so that a “propriet</w:t>
      </w:r>
      <w:r w:rsidR="00FE7235">
        <w:t>ar</w:t>
      </w:r>
      <w:r w:rsidR="00BD3C2E">
        <w:t xml:space="preserve">y trader” could be designed i.e. where the trader has a set amount of capital for buying and selling an abstract quantity. </w:t>
      </w:r>
    </w:p>
    <w:p w14:paraId="78043A46" w14:textId="6A5DD46D" w:rsidR="00BD3C2E" w:rsidRPr="00D74E8F" w:rsidRDefault="00BD3C2E" w:rsidP="00D74E8F">
      <w:pPr>
        <w:ind w:firstLine="0"/>
      </w:pPr>
      <w:r>
        <w:t>The program currently comprises of 5 algorithms including ZIC (cite god end sunder), Sniper (which is inspired by Rust et al’s Kaplan’s Sniper) and ZIP (cite Dave Cliff).</w:t>
      </w:r>
    </w:p>
    <w:p w14:paraId="470385BC" w14:textId="2CAB395C" w:rsidR="00882458" w:rsidRDefault="00882458" w:rsidP="00882458">
      <w:pPr>
        <w:pStyle w:val="heading1"/>
      </w:pPr>
      <w:r>
        <w:t>Implemented Model</w:t>
      </w:r>
    </w:p>
    <w:p w14:paraId="1ACA81CB" w14:textId="4BF6F473" w:rsidR="00773AF4" w:rsidRDefault="00773AF4" w:rsidP="00773AF4">
      <w:pPr>
        <w:pStyle w:val="p1a"/>
      </w:pPr>
      <w:r>
        <w:t>While the Bristol Stock Exchange repository contains code for Kaplan’s Sniper, ZIC, ZIP and AA (specifically stored in a separate file), there are no current implementations of the Gjerstad-Dickhau</w:t>
      </w:r>
      <w:r w:rsidR="00FE7235">
        <w:t>t</w:t>
      </w:r>
      <w:r>
        <w:t xml:space="preserve"> algorithm which have been implemented on BSE. </w:t>
      </w:r>
      <w:r>
        <w:br/>
        <w:t xml:space="preserve">The implemented model is inspired from the GD algorithm and aims to surpass the shortcomings of the model in order to improve its trading performance. </w:t>
      </w:r>
      <w:r w:rsidR="00FE7235">
        <w:t xml:space="preserve">Additionally, unlike the implemented sales traders (existing in BSE) that take orders from customers to provide a profit, the implemented model acts as a proprietary trader with a balance of 500 at the start of every trading session. </w:t>
      </w:r>
    </w:p>
    <w:p w14:paraId="689F6809" w14:textId="46670B25" w:rsidR="00773AF4" w:rsidRDefault="00773AF4" w:rsidP="00773AF4">
      <w:pPr>
        <w:ind w:firstLine="0"/>
      </w:pPr>
    </w:p>
    <w:p w14:paraId="7A23572A" w14:textId="6A83AC14" w:rsidR="00773AF4" w:rsidRPr="00773AF4" w:rsidRDefault="00773AF4" w:rsidP="00773AF4">
      <w:pPr>
        <w:pStyle w:val="Heading20"/>
      </w:pPr>
      <w:r>
        <w:t>3.1 Gjerstad-Dickhaut Algorithm</w:t>
      </w:r>
      <w:bookmarkStart w:id="0" w:name="_GoBack"/>
      <w:bookmarkEnd w:id="0"/>
    </w:p>
    <w:p w14:paraId="215AA12C" w14:textId="2CE5CDC8" w:rsidR="00773AF4" w:rsidRDefault="00773AF4" w:rsidP="00773AF4">
      <w:pPr>
        <w:ind w:firstLine="0"/>
      </w:pPr>
    </w:p>
    <w:p w14:paraId="07143F5C" w14:textId="23CBF927" w:rsidR="00773AF4" w:rsidRDefault="00773AF4" w:rsidP="00773AF4">
      <w:pPr>
        <w:ind w:firstLine="0"/>
      </w:pPr>
      <w:r>
        <w:t>Theoretically,</w:t>
      </w:r>
      <w:r w:rsidR="001863CD">
        <w:t xml:space="preserve"> </w:t>
      </w:r>
      <w:r w:rsidR="00FE7235">
        <w:t>the Gjerstad-Dickhaut (GD) algorithm is an agent architecture that uses the transaction history</w:t>
      </w:r>
      <w:r w:rsidR="000571DF">
        <w:t xml:space="preserve"> H</w:t>
      </w:r>
      <w:r w:rsidR="000571DF" w:rsidRPr="000571DF">
        <w:rPr>
          <w:vertAlign w:val="subscript"/>
        </w:rPr>
        <w:t>M</w:t>
      </w:r>
      <w:r w:rsidR="00FE7235">
        <w:t xml:space="preserve"> to make its bidding and selling decisions. The orders produced by GD attempt to maximise its expected profit. The transaction history recorded is used in order to generate a belief function</w:t>
      </w:r>
      <w:r w:rsidR="000571DF">
        <w:t xml:space="preserve">. </w:t>
      </w:r>
    </w:p>
    <w:p w14:paraId="6321FFE5" w14:textId="77777777" w:rsidR="009914E4" w:rsidRDefault="009914E4" w:rsidP="00773AF4">
      <w:pPr>
        <w:ind w:firstLine="0"/>
      </w:pPr>
    </w:p>
    <w:p w14:paraId="02D0DD1B" w14:textId="77777777" w:rsidR="000571DF" w:rsidRDefault="00FE7235" w:rsidP="00FE7235">
      <w:pPr>
        <w:ind w:left="2160" w:firstLine="720"/>
        <w:rPr>
          <w:i/>
        </w:rPr>
      </w:pPr>
      <w:r>
        <w:rPr>
          <w:i/>
        </w:rPr>
        <w:tab/>
      </w:r>
      <w:r>
        <w:rPr>
          <w:i/>
        </w:rPr>
        <w:tab/>
      </w:r>
      <w:r>
        <w:rPr>
          <w:i/>
        </w:rPr>
        <w:tab/>
      </w:r>
    </w:p>
    <w:p w14:paraId="087C6E3B" w14:textId="6B0EA059" w:rsidR="00FE7235" w:rsidRDefault="000571DF" w:rsidP="00FE7235">
      <w:pPr>
        <w:ind w:left="2160" w:firstLine="720"/>
      </w:pPr>
      <m:oMath>
        <m:r>
          <m:rPr>
            <m:sty m:val="p"/>
          </m:rPr>
          <w:rPr>
            <w:rFonts w:ascii="Cambria Math" w:hAnsi="Cambria Math"/>
          </w:rPr>
          <m:t xml:space="preserve"> f</m:t>
        </m:r>
        <m:d>
          <m:dPr>
            <m:ctrlPr>
              <w:rPr>
                <w:rFonts w:ascii="Cambria Math" w:hAnsi="Cambria Math"/>
              </w:rPr>
            </m:ctrlPr>
          </m:dPr>
          <m:e>
            <m:r>
              <m:rPr>
                <m:sty m:val="p"/>
              </m:rPr>
              <w:rPr>
                <w:rFonts w:ascii="Cambria Math" w:hAnsi="Cambria Math"/>
              </w:rPr>
              <m:t>p</m:t>
            </m:r>
          </m:e>
        </m:d>
        <m:r>
          <m:rPr>
            <m:sty m:val="p"/>
          </m:rPr>
          <w:rPr>
            <w:rFonts w:ascii="Cambria Math" w:hAnsi="Cambria Math"/>
          </w:rPr>
          <m:t>=</m:t>
        </m:r>
        <m:f>
          <m:fPr>
            <m:ctrlPr>
              <w:rPr>
                <w:rFonts w:ascii="Cambria Math" w:hAnsi="Cambria Math"/>
              </w:rPr>
            </m:ctrlPr>
          </m:fPr>
          <m:num>
            <m:r>
              <w:rPr>
                <w:rFonts w:ascii="Cambria Math" w:hAnsi="Cambria Math"/>
              </w:rPr>
              <m:t>AAG</m:t>
            </m:r>
            <m:d>
              <m:dPr>
                <m:ctrlPr>
                  <w:rPr>
                    <w:rFonts w:ascii="Cambria Math" w:hAnsi="Cambria Math"/>
                    <w:i/>
                  </w:rPr>
                </m:ctrlPr>
              </m:dPr>
              <m:e>
                <m:r>
                  <w:rPr>
                    <w:rFonts w:ascii="Cambria Math" w:hAnsi="Cambria Math"/>
                  </w:rPr>
                  <m:t>p</m:t>
                </m:r>
              </m:e>
            </m:d>
            <m:r>
              <w:rPr>
                <w:rFonts w:ascii="Cambria Math" w:hAnsi="Cambria Math"/>
              </w:rPr>
              <m:t>+BG(p)</m:t>
            </m:r>
          </m:num>
          <m:den>
            <m:r>
              <w:rPr>
                <w:rFonts w:ascii="Cambria Math" w:hAnsi="Cambria Math"/>
              </w:rPr>
              <m:t>AAG</m:t>
            </m:r>
            <m:d>
              <m:dPr>
                <m:ctrlPr>
                  <w:rPr>
                    <w:rFonts w:ascii="Cambria Math" w:hAnsi="Cambria Math"/>
                    <w:i/>
                  </w:rPr>
                </m:ctrlPr>
              </m:dPr>
              <m:e>
                <m:r>
                  <w:rPr>
                    <w:rFonts w:ascii="Cambria Math" w:hAnsi="Cambria Math"/>
                  </w:rPr>
                  <m:t>p</m:t>
                </m:r>
              </m:e>
            </m:d>
            <m:r>
              <w:rPr>
                <w:rFonts w:ascii="Cambria Math" w:hAnsi="Cambria Math"/>
              </w:rPr>
              <m:t>+BG</m:t>
            </m:r>
            <m:d>
              <m:dPr>
                <m:ctrlPr>
                  <w:rPr>
                    <w:rFonts w:ascii="Cambria Math" w:hAnsi="Cambria Math"/>
                    <w:i/>
                  </w:rPr>
                </m:ctrlPr>
              </m:dPr>
              <m:e>
                <m:r>
                  <w:rPr>
                    <w:rFonts w:ascii="Cambria Math" w:hAnsi="Cambria Math"/>
                  </w:rPr>
                  <m:t>p</m:t>
                </m:r>
              </m:e>
            </m:d>
            <m:r>
              <w:rPr>
                <w:rFonts w:ascii="Cambria Math" w:hAnsi="Cambria Math"/>
              </w:rPr>
              <m:t>+UAL(p)</m:t>
            </m:r>
          </m:den>
        </m:f>
      </m:oMath>
      <w:r w:rsidR="00FE7235">
        <w:rPr>
          <w:i/>
        </w:rPr>
        <w:tab/>
      </w:r>
      <w:r w:rsidR="00FE7235">
        <w:tab/>
        <w:t>(</w:t>
      </w:r>
      <w:fldSimple w:instr=" SEQ &quot;Equation&quot; \n \* MERGEFORMAT ">
        <w:r w:rsidR="00FE7235">
          <w:rPr>
            <w:noProof/>
          </w:rPr>
          <w:t>1</w:t>
        </w:r>
      </w:fldSimple>
      <w:r w:rsidR="00FE7235">
        <w:t>)</w:t>
      </w:r>
    </w:p>
    <w:p w14:paraId="2B2A600F" w14:textId="13B3DE51" w:rsidR="000571DF" w:rsidRDefault="000571DF" w:rsidP="00FE7235">
      <w:pPr>
        <w:ind w:left="2160" w:firstLine="720"/>
      </w:pPr>
    </w:p>
    <w:p w14:paraId="6F679648" w14:textId="77777777" w:rsidR="009914E4" w:rsidRDefault="009914E4" w:rsidP="000571DF">
      <w:pPr>
        <w:ind w:firstLine="0"/>
      </w:pPr>
    </w:p>
    <w:p w14:paraId="506F05D8" w14:textId="4634B565" w:rsidR="00A42D1E" w:rsidRDefault="009914E4" w:rsidP="000571DF">
      <w:pPr>
        <w:ind w:firstLine="0"/>
      </w:pPr>
      <w:r>
        <w:lastRenderedPageBreak/>
        <w:t>For sellers,</w:t>
      </w:r>
      <w:r w:rsidR="000571DF">
        <w:t xml:space="preserve"> AAG(p) is the number of accepted asks in H</w:t>
      </w:r>
      <w:r w:rsidR="000571DF" w:rsidRPr="000571DF">
        <w:rPr>
          <w:vertAlign w:val="subscript"/>
        </w:rPr>
        <w:t>M</w:t>
      </w:r>
      <w:r w:rsidR="000571DF">
        <w:rPr>
          <w:vertAlign w:val="subscript"/>
        </w:rPr>
        <w:t xml:space="preserve"> </w:t>
      </w:r>
      <w:r w:rsidR="000571DF">
        <w:t xml:space="preserve">with price </w:t>
      </w:r>
      <w:r w:rsidR="000571DF">
        <w:sym w:font="Symbol" w:char="F0B3"/>
      </w:r>
      <w:r w:rsidR="000571DF">
        <w:t xml:space="preserve"> p, BG(p) is the number of bids </w:t>
      </w:r>
      <w:r w:rsidR="00576294">
        <w:t>in H</w:t>
      </w:r>
      <w:r w:rsidR="00576294">
        <w:rPr>
          <w:vertAlign w:val="subscript"/>
        </w:rPr>
        <w:t>M</w:t>
      </w:r>
      <w:r w:rsidR="00576294">
        <w:t xml:space="preserve"> where price </w:t>
      </w:r>
      <w:r w:rsidR="00576294">
        <w:sym w:font="Symbol" w:char="F0B3"/>
      </w:r>
      <w:r w:rsidR="00576294">
        <w:t xml:space="preserve"> p and UAL(p) is the number of unaccepted asks in H</w:t>
      </w:r>
      <w:r w:rsidR="00576294">
        <w:rPr>
          <w:vertAlign w:val="subscript"/>
        </w:rPr>
        <w:t>M</w:t>
      </w:r>
      <w:r w:rsidR="00576294">
        <w:t xml:space="preserve"> with price</w:t>
      </w:r>
      <w:r w:rsidR="008F40EB">
        <w:t xml:space="preserve"> </w:t>
      </w:r>
      <w:r w:rsidR="00576294">
        <w:sym w:font="Symbol" w:char="F0A3"/>
      </w:r>
      <w:r w:rsidR="008F40EB">
        <w:t xml:space="preserve"> </w:t>
      </w:r>
      <w:r w:rsidR="00576294">
        <w:t xml:space="preserve">p. </w:t>
      </w:r>
      <w:r w:rsidR="00A42D1E">
        <w:t>For buyers,</w:t>
      </w:r>
      <w:r w:rsidR="008F40EB">
        <w:t xml:space="preserve"> AAG(p) is the number of accepted bids in H</w:t>
      </w:r>
      <w:r w:rsidR="008F40EB">
        <w:rPr>
          <w:vertAlign w:val="subscript"/>
        </w:rPr>
        <w:t xml:space="preserve">M </w:t>
      </w:r>
      <w:r w:rsidR="008F40EB">
        <w:t xml:space="preserve">with price </w:t>
      </w:r>
      <w:r w:rsidR="008F40EB">
        <w:sym w:font="Symbol" w:char="F0A3"/>
      </w:r>
      <w:r w:rsidR="008F40EB">
        <w:t xml:space="preserve"> p, BG(p) is the number of bids </w:t>
      </w:r>
      <w:proofErr w:type="spellStart"/>
      <w:r w:rsidR="008F40EB">
        <w:t>at</w:t>
      </w:r>
      <w:proofErr w:type="spellEnd"/>
      <w:r w:rsidR="008F40EB">
        <w:t xml:space="preserve"> price </w:t>
      </w:r>
      <w:r w:rsidR="008F40EB">
        <w:sym w:font="Symbol" w:char="F0A3"/>
      </w:r>
      <w:r w:rsidR="008F40EB">
        <w:t xml:space="preserve"> p and UAL(p) is the number of rejected bids at price </w:t>
      </w:r>
      <w:r w:rsidR="008F40EB">
        <w:sym w:font="Symbol" w:char="F0B3"/>
      </w:r>
      <w:r w:rsidR="008F40EB">
        <w:t xml:space="preserve"> p. </w:t>
      </w:r>
    </w:p>
    <w:p w14:paraId="616564B1" w14:textId="77777777" w:rsidR="009914E4" w:rsidRDefault="009914E4" w:rsidP="000571DF">
      <w:pPr>
        <w:ind w:firstLine="0"/>
      </w:pPr>
    </w:p>
    <w:p w14:paraId="54D1C566" w14:textId="2F1E82EF" w:rsidR="00EC753A" w:rsidRDefault="00576294" w:rsidP="000571DF">
      <w:pPr>
        <w:ind w:firstLine="0"/>
      </w:pPr>
      <w:r>
        <w:t>The GD agent then chooses a price from H</w:t>
      </w:r>
      <w:r>
        <w:rPr>
          <w:vertAlign w:val="subscript"/>
        </w:rPr>
        <w:t>M</w:t>
      </w:r>
      <w:r>
        <w:t xml:space="preserve"> that maximises the expected surplus, defined as product of f(p) and the gain from trade at that price that is equal to p-l for sellers and l-p for buyers, where l is the limit price.</w:t>
      </w:r>
      <w:r w:rsidR="008F40EB">
        <w:t xml:space="preserve"> </w:t>
      </w:r>
      <w:r w:rsidR="00991768">
        <w:t xml:space="preserve">Several shortcomings exist in this algorithm, </w:t>
      </w:r>
      <w:r w:rsidR="00F63000">
        <w:t xml:space="preserve">especially the complexity along with the bid/sell price it computes. The implemented model, </w:t>
      </w:r>
      <w:r w:rsidR="003853D0">
        <w:t xml:space="preserve">Trader </w:t>
      </w:r>
      <w:r w:rsidR="00F63000">
        <w:t xml:space="preserve">TMGD </w:t>
      </w:r>
      <w:r w:rsidR="003853D0">
        <w:t>provides selective variations to GD as an attempt</w:t>
      </w:r>
      <w:r w:rsidR="00F63000">
        <w:t xml:space="preserve"> to reduce the</w:t>
      </w:r>
      <w:r w:rsidR="003853D0">
        <w:t xml:space="preserve"> given</w:t>
      </w:r>
      <w:r w:rsidR="00F63000">
        <w:t xml:space="preserve"> shortcomings</w:t>
      </w:r>
      <w:r w:rsidR="003853D0">
        <w:t xml:space="preserve">. </w:t>
      </w:r>
    </w:p>
    <w:p w14:paraId="354FF326" w14:textId="77777777" w:rsidR="003853D0" w:rsidRDefault="003853D0" w:rsidP="000571DF">
      <w:pPr>
        <w:ind w:firstLine="0"/>
      </w:pPr>
    </w:p>
    <w:p w14:paraId="17B71A67" w14:textId="67B68EF4" w:rsidR="00EC753A" w:rsidRDefault="003853D0" w:rsidP="003853D0">
      <w:pPr>
        <w:pStyle w:val="Heading20"/>
      </w:pPr>
      <w:r>
        <w:t>3.2 Trader TMGD</w:t>
      </w:r>
    </w:p>
    <w:p w14:paraId="61970CEB" w14:textId="298D2EED" w:rsidR="003853D0" w:rsidRPr="003853D0" w:rsidRDefault="00EE0B7B" w:rsidP="003853D0">
      <w:pPr>
        <w:pStyle w:val="p1a"/>
      </w:pPr>
      <w:r>
        <w:t>TMGD algorithm, short for Triple-M Gjerstad-Dickhaut or Modified Market Maker Gjerstad-Dickhaut algorithm uses the strategy of the GD trader of using a</w:t>
      </w:r>
      <w:r w:rsidR="008F40EB">
        <w:t xml:space="preserve"> (slightly different)</w:t>
      </w:r>
      <w:r>
        <w:t xml:space="preserve"> belief function and multiplying it with the gain from the trade at the specific price. TMGD </w:t>
      </w:r>
      <w:r w:rsidR="00E35E22">
        <w:t>contains multiple functions in the “respond” function (see appendix) which formulate the main strategy</w:t>
      </w:r>
      <w:r>
        <w:t xml:space="preserve"> </w:t>
      </w:r>
      <w:r w:rsidR="00E35E22">
        <w:t xml:space="preserve">for the algorithm. </w:t>
      </w:r>
      <w:r w:rsidR="00E6505C">
        <w:t>In essence,</w:t>
      </w:r>
      <w:r w:rsidR="008F40EB">
        <w:t xml:space="preserve"> </w:t>
      </w:r>
      <w:r w:rsidR="00E6505C">
        <w:t xml:space="preserve">the </w:t>
      </w:r>
      <w:r w:rsidR="008F40EB">
        <w:t>aim for the TMGD belief function, just like GD’s belief function is to calculate the expected profits for all the bids and sells in history with length m, and pick the price with the highest expected profit</w:t>
      </w:r>
      <w:r w:rsidR="00E6505C">
        <w:t>….</w:t>
      </w:r>
    </w:p>
    <w:p w14:paraId="1EE83E73" w14:textId="77777777" w:rsidR="000571DF" w:rsidRDefault="000571DF" w:rsidP="000571DF">
      <w:pPr>
        <w:ind w:left="2160" w:firstLine="720"/>
        <w:rPr>
          <w:i/>
        </w:rPr>
      </w:pPr>
      <w:r>
        <w:rPr>
          <w:i/>
        </w:rPr>
        <w:tab/>
      </w:r>
      <w:r>
        <w:rPr>
          <w:i/>
        </w:rPr>
        <w:tab/>
      </w:r>
      <w:r>
        <w:rPr>
          <w:i/>
        </w:rPr>
        <w:tab/>
      </w:r>
    </w:p>
    <w:p w14:paraId="76648C1C" w14:textId="6DF10AEF" w:rsidR="000571DF" w:rsidRPr="00773AF4" w:rsidRDefault="000571DF" w:rsidP="000571DF">
      <w:pPr>
        <w:ind w:left="2160" w:firstLine="720"/>
      </w:pPr>
    </w:p>
    <w:p w14:paraId="2619F009" w14:textId="256E0852" w:rsidR="00CE75CB" w:rsidRDefault="00CE75CB" w:rsidP="00CE75CB">
      <w:pPr>
        <w:pStyle w:val="heading1"/>
      </w:pPr>
      <w:r>
        <w:t>Results and Analysi</w:t>
      </w:r>
      <w:r w:rsidR="00773AF4">
        <w:t>s</w:t>
      </w:r>
    </w:p>
    <w:p w14:paraId="4F59A714" w14:textId="0F68E0E4" w:rsidR="00CE75CB" w:rsidRDefault="00CE75CB" w:rsidP="00CE75CB">
      <w:pPr>
        <w:pStyle w:val="heading1"/>
      </w:pPr>
      <w:r>
        <w:t>Conclusion and Future Work</w:t>
      </w:r>
    </w:p>
    <w:p w14:paraId="08736E43" w14:textId="77777777" w:rsidR="00CE75CB" w:rsidRPr="00CE75CB" w:rsidRDefault="00CE75CB" w:rsidP="00CE75CB">
      <w:pPr>
        <w:pStyle w:val="p1a"/>
      </w:pPr>
    </w:p>
    <w:p w14:paraId="49301CC5" w14:textId="77777777" w:rsidR="00882458" w:rsidRPr="00882458" w:rsidRDefault="00882458" w:rsidP="00882458">
      <w:pPr>
        <w:pStyle w:val="p1a"/>
      </w:pPr>
    </w:p>
    <w:p w14:paraId="078A746F" w14:textId="77777777" w:rsidR="00882458" w:rsidRPr="00882458" w:rsidRDefault="00882458" w:rsidP="00882458">
      <w:pPr>
        <w:pStyle w:val="p1a"/>
      </w:pPr>
    </w:p>
    <w:p w14:paraId="3BB11DF5" w14:textId="4060CBAA" w:rsidR="00C8652E" w:rsidRPr="006809AE" w:rsidRDefault="00C8652E" w:rsidP="00774AA9">
      <w:pPr>
        <w:pStyle w:val="heading2"/>
        <w:spacing w:before="0"/>
      </w:pPr>
      <w:r>
        <w:t>A Subsection</w:t>
      </w:r>
      <w:r w:rsidRPr="003E3370">
        <w:t xml:space="preserve"> </w:t>
      </w:r>
      <w:r>
        <w:t>Sample</w:t>
      </w:r>
    </w:p>
    <w:p w14:paraId="14D70DA2" w14:textId="77777777" w:rsidR="00C8652E" w:rsidRPr="00EE426C" w:rsidRDefault="00C8652E" w:rsidP="00C8652E">
      <w:pPr>
        <w:pStyle w:val="p1a"/>
      </w:pPr>
      <w:r w:rsidRPr="00EE426C">
        <w:t>Please note that the first paragraph of a section or subsection is not indented. The first paragraphs that follows a table, figure, equation etc. does not have an indent, either.</w:t>
      </w:r>
    </w:p>
    <w:p w14:paraId="1932BA39" w14:textId="77777777" w:rsidR="00C8652E" w:rsidRDefault="00C8652E" w:rsidP="00C8652E">
      <w:r>
        <w:t>Subsequent paragraphs, however, are indented.</w:t>
      </w:r>
    </w:p>
    <w:p w14:paraId="4A1EE34A" w14:textId="77777777" w:rsidR="00C8652E" w:rsidRDefault="00C8652E" w:rsidP="00774AA9">
      <w:pPr>
        <w:pStyle w:val="Heading3"/>
      </w:pPr>
      <w:r w:rsidRPr="00774AA9">
        <w:rPr>
          <w:rStyle w:val="heading30"/>
        </w:rPr>
        <w:t>Sample Heading (Third Level).</w:t>
      </w:r>
      <w:r w:rsidRPr="003E3370">
        <w:t xml:space="preserve"> </w:t>
      </w:r>
      <w:r>
        <w:t>Only two levels of headings should be numbered. Lower level headings remain unnumbered; they are formatted as run-in headings.</w:t>
      </w:r>
    </w:p>
    <w:p w14:paraId="1E026BC5" w14:textId="77777777" w:rsidR="00C8652E" w:rsidRDefault="00C8652E" w:rsidP="00774AA9">
      <w:pPr>
        <w:pStyle w:val="Heading4"/>
      </w:pPr>
      <w:r w:rsidRPr="00774AA9">
        <w:rPr>
          <w:rStyle w:val="heading40"/>
        </w:rPr>
        <w:lastRenderedPageBreak/>
        <w:t>Sample Heading (Forth Level).</w:t>
      </w:r>
      <w:r w:rsidRPr="003E3370">
        <w:t xml:space="preserve"> </w:t>
      </w:r>
      <w:r>
        <w:t xml:space="preserve">The contribution should contain no more than four levels of headings. The following </w:t>
      </w:r>
      <w:r w:rsidRPr="00A97482">
        <w:fldChar w:fldCharType="begin"/>
      </w:r>
      <w:r w:rsidRPr="00A97482">
        <w:instrText xml:space="preserve"> REF _Ref467509391 \h  \* MERGEFORMAT </w:instrText>
      </w:r>
      <w:r w:rsidRPr="00A97482">
        <w:fldChar w:fldCharType="separate"/>
      </w:r>
      <w:r w:rsidRPr="00EE1BBB">
        <w:t xml:space="preserve">Table </w:t>
      </w:r>
      <w:r w:rsidRPr="00EE1BBB">
        <w:rPr>
          <w:noProof/>
        </w:rPr>
        <w:t>1</w:t>
      </w:r>
      <w:r w:rsidRPr="00A97482">
        <w:fldChar w:fldCharType="end"/>
      </w:r>
      <w:r>
        <w:t xml:space="preserve"> gives a summary of all heading levels.</w:t>
      </w:r>
    </w:p>
    <w:p w14:paraId="5DED2EE5" w14:textId="0D452143" w:rsidR="00C8652E" w:rsidRDefault="00C8652E" w:rsidP="00C8652E">
      <w:pPr>
        <w:pStyle w:val="tablecaption"/>
      </w:pPr>
      <w:bookmarkStart w:id="1" w:name="_Ref467509391"/>
      <w:r>
        <w:rPr>
          <w:b/>
        </w:rPr>
        <w:t xml:space="preserve">Table </w:t>
      </w:r>
      <w:r>
        <w:rPr>
          <w:b/>
        </w:rPr>
        <w:fldChar w:fldCharType="begin"/>
      </w:r>
      <w:r>
        <w:rPr>
          <w:b/>
        </w:rPr>
        <w:instrText xml:space="preserve"> SEQ "Table" \* MERGEFORMAT </w:instrText>
      </w:r>
      <w:r>
        <w:rPr>
          <w:b/>
        </w:rPr>
        <w:fldChar w:fldCharType="separate"/>
      </w:r>
      <w:r w:rsidR="00F64AAA">
        <w:rPr>
          <w:b/>
          <w:noProof/>
        </w:rPr>
        <w:t>1</w:t>
      </w:r>
      <w:r>
        <w:rPr>
          <w:b/>
        </w:rPr>
        <w:fldChar w:fldCharType="end"/>
      </w:r>
      <w:bookmarkEnd w:id="1"/>
      <w:r>
        <w:rPr>
          <w:b/>
        </w:rPr>
        <w:t>.</w:t>
      </w:r>
      <w:r>
        <w:t xml:space="preserve"> </w:t>
      </w:r>
      <w:r w:rsidRPr="00DB42F5">
        <w:t>Table</w:t>
      </w:r>
      <w:r>
        <w:t xml:space="preserve"> captions should be placed above the tables.</w:t>
      </w:r>
    </w:p>
    <w:tbl>
      <w:tblPr>
        <w:tblW w:w="6889" w:type="dxa"/>
        <w:jc w:val="center"/>
        <w:tblLayout w:type="fixed"/>
        <w:tblCellMar>
          <w:left w:w="70" w:type="dxa"/>
          <w:right w:w="70" w:type="dxa"/>
        </w:tblCellMar>
        <w:tblLook w:val="0000" w:firstRow="0" w:lastRow="0" w:firstColumn="0" w:lastColumn="0" w:noHBand="0" w:noVBand="0"/>
      </w:tblPr>
      <w:tblGrid>
        <w:gridCol w:w="1692"/>
        <w:gridCol w:w="3444"/>
        <w:gridCol w:w="1753"/>
      </w:tblGrid>
      <w:tr w:rsidR="00C8652E" w:rsidRPr="009A3755" w14:paraId="2811F439" w14:textId="77777777" w:rsidTr="00DC71CD">
        <w:trPr>
          <w:jc w:val="center"/>
        </w:trPr>
        <w:tc>
          <w:tcPr>
            <w:tcW w:w="1664" w:type="dxa"/>
            <w:tcBorders>
              <w:top w:val="single" w:sz="12" w:space="0" w:color="000000"/>
              <w:bottom w:val="single" w:sz="6" w:space="0" w:color="000000"/>
            </w:tcBorders>
          </w:tcPr>
          <w:p w14:paraId="6F2CE839" w14:textId="77777777" w:rsidR="00C8652E" w:rsidRPr="009A3755" w:rsidRDefault="00C8652E" w:rsidP="00DC71CD">
            <w:pPr>
              <w:ind w:firstLine="0"/>
              <w:jc w:val="left"/>
              <w:rPr>
                <w:sz w:val="18"/>
                <w:szCs w:val="18"/>
              </w:rPr>
            </w:pPr>
            <w:r w:rsidRPr="009A3755">
              <w:rPr>
                <w:sz w:val="18"/>
                <w:szCs w:val="18"/>
              </w:rPr>
              <w:t>Heading level</w:t>
            </w:r>
          </w:p>
        </w:tc>
        <w:tc>
          <w:tcPr>
            <w:tcW w:w="3387" w:type="dxa"/>
            <w:tcBorders>
              <w:top w:val="single" w:sz="12" w:space="0" w:color="000000"/>
              <w:bottom w:val="single" w:sz="6" w:space="0" w:color="000000"/>
            </w:tcBorders>
          </w:tcPr>
          <w:p w14:paraId="28D5B52A" w14:textId="77777777" w:rsidR="00C8652E" w:rsidRPr="009A3755" w:rsidRDefault="00C8652E" w:rsidP="00DC71CD">
            <w:pPr>
              <w:ind w:firstLine="0"/>
              <w:jc w:val="left"/>
              <w:rPr>
                <w:sz w:val="18"/>
                <w:szCs w:val="18"/>
              </w:rPr>
            </w:pPr>
            <w:r w:rsidRPr="009A3755">
              <w:rPr>
                <w:sz w:val="18"/>
                <w:szCs w:val="18"/>
              </w:rPr>
              <w:t>Example</w:t>
            </w:r>
          </w:p>
        </w:tc>
        <w:tc>
          <w:tcPr>
            <w:tcW w:w="1724" w:type="dxa"/>
            <w:tcBorders>
              <w:top w:val="single" w:sz="12" w:space="0" w:color="000000"/>
              <w:bottom w:val="single" w:sz="6" w:space="0" w:color="000000"/>
            </w:tcBorders>
          </w:tcPr>
          <w:p w14:paraId="2993D9A9" w14:textId="77777777" w:rsidR="00C8652E" w:rsidRPr="009A3755" w:rsidRDefault="00C8652E" w:rsidP="00DC71CD">
            <w:pPr>
              <w:ind w:firstLine="0"/>
              <w:jc w:val="left"/>
              <w:rPr>
                <w:sz w:val="18"/>
                <w:szCs w:val="18"/>
              </w:rPr>
            </w:pPr>
            <w:r w:rsidRPr="009A3755">
              <w:rPr>
                <w:sz w:val="18"/>
                <w:szCs w:val="18"/>
              </w:rPr>
              <w:t>Font size and style</w:t>
            </w:r>
          </w:p>
        </w:tc>
      </w:tr>
      <w:tr w:rsidR="00C8652E" w:rsidRPr="009A3755" w14:paraId="43F0F3AE" w14:textId="77777777" w:rsidTr="00DC71CD">
        <w:trPr>
          <w:trHeight w:val="284"/>
          <w:jc w:val="center"/>
        </w:trPr>
        <w:tc>
          <w:tcPr>
            <w:tcW w:w="1664" w:type="dxa"/>
            <w:vAlign w:val="center"/>
          </w:tcPr>
          <w:p w14:paraId="53D301A7" w14:textId="77777777" w:rsidR="00C8652E" w:rsidRPr="009A3755" w:rsidRDefault="00C8652E" w:rsidP="00DC71CD">
            <w:pPr>
              <w:ind w:firstLine="0"/>
              <w:jc w:val="left"/>
              <w:rPr>
                <w:sz w:val="18"/>
                <w:szCs w:val="18"/>
              </w:rPr>
            </w:pPr>
            <w:r w:rsidRPr="009A3755">
              <w:rPr>
                <w:sz w:val="18"/>
                <w:szCs w:val="18"/>
              </w:rPr>
              <w:t>Title (centered)</w:t>
            </w:r>
          </w:p>
        </w:tc>
        <w:tc>
          <w:tcPr>
            <w:tcW w:w="3387" w:type="dxa"/>
            <w:vAlign w:val="center"/>
          </w:tcPr>
          <w:p w14:paraId="60F3406D" w14:textId="77777777" w:rsidR="00C8652E" w:rsidRPr="009A3755" w:rsidRDefault="00C8652E" w:rsidP="00DC71CD">
            <w:pPr>
              <w:ind w:firstLine="0"/>
              <w:jc w:val="left"/>
              <w:rPr>
                <w:sz w:val="18"/>
                <w:szCs w:val="18"/>
              </w:rPr>
            </w:pPr>
            <w:r w:rsidRPr="00192151">
              <w:rPr>
                <w:b/>
                <w:bCs/>
                <w:sz w:val="28"/>
                <w:szCs w:val="25"/>
              </w:rPr>
              <w:t>Lecture Notes</w:t>
            </w:r>
          </w:p>
        </w:tc>
        <w:tc>
          <w:tcPr>
            <w:tcW w:w="1724" w:type="dxa"/>
            <w:vAlign w:val="center"/>
          </w:tcPr>
          <w:p w14:paraId="6EFB90DA" w14:textId="77777777" w:rsidR="00C8652E" w:rsidRPr="009A3755" w:rsidRDefault="00C8652E" w:rsidP="00DC71CD">
            <w:pPr>
              <w:ind w:firstLine="0"/>
              <w:jc w:val="left"/>
              <w:rPr>
                <w:sz w:val="18"/>
                <w:szCs w:val="18"/>
              </w:rPr>
            </w:pPr>
            <w:r w:rsidRPr="009A3755">
              <w:rPr>
                <w:sz w:val="18"/>
                <w:szCs w:val="18"/>
              </w:rPr>
              <w:t>14 point, bold</w:t>
            </w:r>
          </w:p>
        </w:tc>
      </w:tr>
      <w:tr w:rsidR="00C8652E" w:rsidRPr="009A3755" w14:paraId="1240EFF8" w14:textId="77777777" w:rsidTr="00DC71CD">
        <w:trPr>
          <w:trHeight w:val="284"/>
          <w:jc w:val="center"/>
        </w:trPr>
        <w:tc>
          <w:tcPr>
            <w:tcW w:w="1664" w:type="dxa"/>
            <w:vAlign w:val="center"/>
          </w:tcPr>
          <w:p w14:paraId="0DC1370D" w14:textId="77777777" w:rsidR="00C8652E" w:rsidRPr="009A3755" w:rsidRDefault="00C8652E" w:rsidP="00DC71CD">
            <w:pPr>
              <w:ind w:firstLine="0"/>
              <w:jc w:val="left"/>
              <w:rPr>
                <w:sz w:val="18"/>
                <w:szCs w:val="18"/>
              </w:rPr>
            </w:pPr>
            <w:r w:rsidRPr="009A3755">
              <w:rPr>
                <w:sz w:val="18"/>
                <w:szCs w:val="18"/>
              </w:rPr>
              <w:t>1</w:t>
            </w:r>
            <w:r w:rsidRPr="009A3755">
              <w:rPr>
                <w:sz w:val="18"/>
                <w:szCs w:val="18"/>
                <w:vertAlign w:val="superscript"/>
              </w:rPr>
              <w:t>st</w:t>
            </w:r>
            <w:r w:rsidRPr="009A3755">
              <w:rPr>
                <w:sz w:val="18"/>
                <w:szCs w:val="18"/>
              </w:rPr>
              <w:t>-level heading</w:t>
            </w:r>
          </w:p>
        </w:tc>
        <w:tc>
          <w:tcPr>
            <w:tcW w:w="3387" w:type="dxa"/>
            <w:vAlign w:val="center"/>
          </w:tcPr>
          <w:p w14:paraId="4869A339" w14:textId="77777777" w:rsidR="00C8652E" w:rsidRPr="009A3755" w:rsidRDefault="00C8652E" w:rsidP="00DC71CD">
            <w:pPr>
              <w:ind w:firstLine="0"/>
              <w:jc w:val="left"/>
              <w:rPr>
                <w:sz w:val="18"/>
                <w:szCs w:val="18"/>
              </w:rPr>
            </w:pPr>
            <w:r w:rsidRPr="00192151">
              <w:rPr>
                <w:b/>
                <w:bCs/>
                <w:sz w:val="24"/>
                <w:szCs w:val="21"/>
              </w:rPr>
              <w:t>1 Introduction</w:t>
            </w:r>
          </w:p>
        </w:tc>
        <w:tc>
          <w:tcPr>
            <w:tcW w:w="1724" w:type="dxa"/>
            <w:vAlign w:val="center"/>
          </w:tcPr>
          <w:p w14:paraId="17A78FB6" w14:textId="77777777" w:rsidR="00C8652E" w:rsidRPr="009A3755" w:rsidRDefault="00C8652E" w:rsidP="00DC71CD">
            <w:pPr>
              <w:ind w:firstLine="0"/>
              <w:jc w:val="left"/>
              <w:rPr>
                <w:sz w:val="18"/>
                <w:szCs w:val="18"/>
              </w:rPr>
            </w:pPr>
            <w:r w:rsidRPr="009A3755">
              <w:rPr>
                <w:sz w:val="18"/>
                <w:szCs w:val="18"/>
              </w:rPr>
              <w:t>12 point, bold</w:t>
            </w:r>
          </w:p>
        </w:tc>
      </w:tr>
      <w:tr w:rsidR="00C8652E" w:rsidRPr="009A3755" w14:paraId="6FCC7A78" w14:textId="77777777" w:rsidTr="00DC71CD">
        <w:trPr>
          <w:trHeight w:val="284"/>
          <w:jc w:val="center"/>
        </w:trPr>
        <w:tc>
          <w:tcPr>
            <w:tcW w:w="1664" w:type="dxa"/>
            <w:vAlign w:val="center"/>
          </w:tcPr>
          <w:p w14:paraId="6042AF12" w14:textId="77777777" w:rsidR="00C8652E" w:rsidRPr="009A3755" w:rsidRDefault="00C8652E" w:rsidP="00DC71CD">
            <w:pPr>
              <w:ind w:firstLine="0"/>
              <w:jc w:val="left"/>
              <w:rPr>
                <w:sz w:val="18"/>
                <w:szCs w:val="18"/>
              </w:rPr>
            </w:pPr>
            <w:r w:rsidRPr="009A3755">
              <w:rPr>
                <w:sz w:val="18"/>
                <w:szCs w:val="18"/>
              </w:rPr>
              <w:t>2</w:t>
            </w:r>
            <w:r w:rsidRPr="009A3755">
              <w:rPr>
                <w:sz w:val="18"/>
                <w:szCs w:val="18"/>
                <w:vertAlign w:val="superscript"/>
              </w:rPr>
              <w:t>nd</w:t>
            </w:r>
            <w:r w:rsidRPr="009A3755">
              <w:rPr>
                <w:sz w:val="18"/>
                <w:szCs w:val="18"/>
              </w:rPr>
              <w:t>-level heading</w:t>
            </w:r>
          </w:p>
        </w:tc>
        <w:tc>
          <w:tcPr>
            <w:tcW w:w="3387" w:type="dxa"/>
            <w:vAlign w:val="center"/>
          </w:tcPr>
          <w:p w14:paraId="7943254B" w14:textId="77777777" w:rsidR="00C8652E" w:rsidRPr="009A3755" w:rsidRDefault="00C8652E" w:rsidP="00DC71CD">
            <w:pPr>
              <w:ind w:firstLine="0"/>
              <w:jc w:val="left"/>
              <w:rPr>
                <w:sz w:val="18"/>
                <w:szCs w:val="18"/>
              </w:rPr>
            </w:pPr>
            <w:r w:rsidRPr="00192151">
              <w:rPr>
                <w:b/>
                <w:bCs/>
                <w:szCs w:val="18"/>
              </w:rPr>
              <w:t>2.1 Printing Area</w:t>
            </w:r>
          </w:p>
        </w:tc>
        <w:tc>
          <w:tcPr>
            <w:tcW w:w="1724" w:type="dxa"/>
            <w:vAlign w:val="center"/>
          </w:tcPr>
          <w:p w14:paraId="1FFAB3B2" w14:textId="77777777" w:rsidR="00C8652E" w:rsidRPr="009A3755" w:rsidRDefault="00C8652E" w:rsidP="00DC71CD">
            <w:pPr>
              <w:ind w:firstLine="0"/>
              <w:jc w:val="left"/>
              <w:rPr>
                <w:sz w:val="18"/>
                <w:szCs w:val="18"/>
              </w:rPr>
            </w:pPr>
            <w:r w:rsidRPr="009A3755">
              <w:rPr>
                <w:sz w:val="18"/>
                <w:szCs w:val="18"/>
              </w:rPr>
              <w:t>10 point, bold</w:t>
            </w:r>
          </w:p>
        </w:tc>
      </w:tr>
      <w:tr w:rsidR="00C8652E" w:rsidRPr="009A3755" w14:paraId="284D0C4B" w14:textId="77777777" w:rsidTr="00DC71CD">
        <w:trPr>
          <w:trHeight w:val="284"/>
          <w:jc w:val="center"/>
        </w:trPr>
        <w:tc>
          <w:tcPr>
            <w:tcW w:w="1664" w:type="dxa"/>
            <w:vAlign w:val="center"/>
          </w:tcPr>
          <w:p w14:paraId="12834063" w14:textId="77777777" w:rsidR="00C8652E" w:rsidRPr="009A3755" w:rsidRDefault="00C8652E" w:rsidP="00DC71CD">
            <w:pPr>
              <w:ind w:firstLine="0"/>
              <w:jc w:val="left"/>
              <w:rPr>
                <w:sz w:val="18"/>
                <w:szCs w:val="18"/>
              </w:rPr>
            </w:pPr>
            <w:r w:rsidRPr="009A3755">
              <w:rPr>
                <w:sz w:val="18"/>
                <w:szCs w:val="18"/>
              </w:rPr>
              <w:t>3</w:t>
            </w:r>
            <w:r w:rsidRPr="009A3755">
              <w:rPr>
                <w:sz w:val="18"/>
                <w:szCs w:val="18"/>
                <w:vertAlign w:val="superscript"/>
              </w:rPr>
              <w:t>rd</w:t>
            </w:r>
            <w:r w:rsidRPr="009A3755">
              <w:rPr>
                <w:sz w:val="18"/>
                <w:szCs w:val="18"/>
              </w:rPr>
              <w:t>-level heading</w:t>
            </w:r>
          </w:p>
        </w:tc>
        <w:tc>
          <w:tcPr>
            <w:tcW w:w="3387" w:type="dxa"/>
            <w:vAlign w:val="center"/>
          </w:tcPr>
          <w:p w14:paraId="5049D3EE" w14:textId="77777777" w:rsidR="00C8652E" w:rsidRPr="009A3755" w:rsidRDefault="00C8652E" w:rsidP="00DC71CD">
            <w:pPr>
              <w:ind w:firstLine="0"/>
              <w:jc w:val="left"/>
              <w:rPr>
                <w:sz w:val="18"/>
                <w:szCs w:val="18"/>
              </w:rPr>
            </w:pPr>
            <w:r w:rsidRPr="00192151">
              <w:rPr>
                <w:b/>
                <w:bCs/>
                <w:szCs w:val="18"/>
              </w:rPr>
              <w:t>Run-in Heading in Bold.</w:t>
            </w:r>
            <w:r w:rsidRPr="00192151">
              <w:rPr>
                <w:szCs w:val="18"/>
              </w:rPr>
              <w:t xml:space="preserve"> Text follows</w:t>
            </w:r>
          </w:p>
        </w:tc>
        <w:tc>
          <w:tcPr>
            <w:tcW w:w="1724" w:type="dxa"/>
            <w:vAlign w:val="center"/>
          </w:tcPr>
          <w:p w14:paraId="3B54339E" w14:textId="77777777" w:rsidR="00C8652E" w:rsidRPr="009A3755" w:rsidRDefault="00C8652E" w:rsidP="00DC71CD">
            <w:pPr>
              <w:ind w:firstLine="0"/>
              <w:jc w:val="left"/>
              <w:rPr>
                <w:sz w:val="18"/>
                <w:szCs w:val="18"/>
              </w:rPr>
            </w:pPr>
            <w:r w:rsidRPr="009A3755">
              <w:rPr>
                <w:sz w:val="18"/>
                <w:szCs w:val="18"/>
              </w:rPr>
              <w:t>10 point, bold</w:t>
            </w:r>
          </w:p>
        </w:tc>
      </w:tr>
      <w:tr w:rsidR="00C8652E" w:rsidRPr="009A3755" w14:paraId="79C199E7" w14:textId="77777777" w:rsidTr="00DC71CD">
        <w:trPr>
          <w:trHeight w:val="284"/>
          <w:jc w:val="center"/>
        </w:trPr>
        <w:tc>
          <w:tcPr>
            <w:tcW w:w="1664" w:type="dxa"/>
            <w:tcBorders>
              <w:bottom w:val="single" w:sz="12" w:space="0" w:color="000000"/>
            </w:tcBorders>
            <w:vAlign w:val="center"/>
          </w:tcPr>
          <w:p w14:paraId="2EDD4F32" w14:textId="77777777" w:rsidR="00C8652E" w:rsidRPr="009A3755" w:rsidRDefault="00C8652E" w:rsidP="00DC71CD">
            <w:pPr>
              <w:ind w:firstLine="0"/>
              <w:jc w:val="left"/>
              <w:rPr>
                <w:sz w:val="18"/>
                <w:szCs w:val="18"/>
              </w:rPr>
            </w:pPr>
            <w:r w:rsidRPr="009A3755">
              <w:rPr>
                <w:sz w:val="18"/>
                <w:szCs w:val="18"/>
              </w:rPr>
              <w:t>4</w:t>
            </w:r>
            <w:r w:rsidRPr="009A3755">
              <w:rPr>
                <w:sz w:val="18"/>
                <w:szCs w:val="18"/>
                <w:vertAlign w:val="superscript"/>
              </w:rPr>
              <w:t>th</w:t>
            </w:r>
            <w:r w:rsidRPr="009A3755">
              <w:rPr>
                <w:sz w:val="18"/>
                <w:szCs w:val="18"/>
              </w:rPr>
              <w:t>-level heading</w:t>
            </w:r>
          </w:p>
        </w:tc>
        <w:tc>
          <w:tcPr>
            <w:tcW w:w="3387" w:type="dxa"/>
            <w:tcBorders>
              <w:bottom w:val="single" w:sz="12" w:space="0" w:color="000000"/>
            </w:tcBorders>
            <w:vAlign w:val="center"/>
          </w:tcPr>
          <w:p w14:paraId="7B34029C" w14:textId="77777777" w:rsidR="00C8652E" w:rsidRPr="009A3755" w:rsidRDefault="00C8652E" w:rsidP="00DC71CD">
            <w:pPr>
              <w:ind w:firstLine="0"/>
              <w:jc w:val="left"/>
              <w:rPr>
                <w:sz w:val="18"/>
                <w:szCs w:val="18"/>
              </w:rPr>
            </w:pPr>
            <w:r w:rsidRPr="00192151">
              <w:rPr>
                <w:i/>
                <w:iCs/>
                <w:szCs w:val="18"/>
              </w:rPr>
              <w:t>Lowest Level Heading.</w:t>
            </w:r>
            <w:r w:rsidRPr="00192151">
              <w:rPr>
                <w:szCs w:val="18"/>
              </w:rPr>
              <w:t xml:space="preserve"> Text follows</w:t>
            </w:r>
          </w:p>
        </w:tc>
        <w:tc>
          <w:tcPr>
            <w:tcW w:w="1724" w:type="dxa"/>
            <w:tcBorders>
              <w:bottom w:val="single" w:sz="12" w:space="0" w:color="000000"/>
            </w:tcBorders>
            <w:vAlign w:val="center"/>
          </w:tcPr>
          <w:p w14:paraId="15550586" w14:textId="77777777" w:rsidR="00C8652E" w:rsidRPr="009A3755" w:rsidRDefault="00C8652E" w:rsidP="00DC71CD">
            <w:pPr>
              <w:ind w:firstLine="0"/>
              <w:jc w:val="left"/>
              <w:rPr>
                <w:sz w:val="18"/>
                <w:szCs w:val="18"/>
              </w:rPr>
            </w:pPr>
            <w:r w:rsidRPr="009A3755">
              <w:rPr>
                <w:sz w:val="18"/>
                <w:szCs w:val="18"/>
              </w:rPr>
              <w:t>10 point, italic</w:t>
            </w:r>
          </w:p>
        </w:tc>
      </w:tr>
    </w:tbl>
    <w:p w14:paraId="133A23EA" w14:textId="77777777" w:rsidR="00C8652E" w:rsidRDefault="00C8652E" w:rsidP="00C8652E">
      <w:pPr>
        <w:spacing w:before="240"/>
        <w:ind w:firstLine="0"/>
      </w:pPr>
      <w:r>
        <w:t xml:space="preserve">Displayed equations are centered and set on a separate line. </w:t>
      </w:r>
    </w:p>
    <w:p w14:paraId="38807830" w14:textId="67E1216C" w:rsidR="00C8652E" w:rsidRDefault="00C8652E" w:rsidP="00C8652E">
      <w:pPr>
        <w:pStyle w:val="equation"/>
      </w:pPr>
      <w:r>
        <w:rPr>
          <w:i/>
        </w:rPr>
        <w:tab/>
      </w:r>
      <w:bookmarkStart w:id="2" w:name="_Ref467511664"/>
      <w:bookmarkStart w:id="3" w:name="_Ref467511750"/>
      <w:r>
        <w:rPr>
          <w:i/>
        </w:rPr>
        <w:t>x</w:t>
      </w:r>
      <w:r>
        <w:t xml:space="preserve"> + </w:t>
      </w:r>
      <w:r>
        <w:rPr>
          <w:i/>
        </w:rPr>
        <w:t>y</w:t>
      </w:r>
      <w:r>
        <w:t xml:space="preserve"> = </w:t>
      </w:r>
      <w:r>
        <w:rPr>
          <w:i/>
        </w:rPr>
        <w:t>z</w:t>
      </w:r>
      <w:r>
        <w:tab/>
        <w:t>(</w:t>
      </w:r>
      <w:fldSimple w:instr=" SEQ &quot;Equation&quot; \n \* MERGEFORMAT ">
        <w:r w:rsidR="00F64AAA">
          <w:rPr>
            <w:noProof/>
          </w:rPr>
          <w:t>1</w:t>
        </w:r>
      </w:fldSimple>
      <w:bookmarkStart w:id="4" w:name="_Ref467511674"/>
      <w:bookmarkEnd w:id="2"/>
      <w:r>
        <w:t>)</w:t>
      </w:r>
      <w:bookmarkEnd w:id="3"/>
      <w:bookmarkEnd w:id="4"/>
    </w:p>
    <w:p w14:paraId="338F9B69" w14:textId="77777777" w:rsidR="00C8652E" w:rsidRPr="00D000D8" w:rsidRDefault="00C8652E" w:rsidP="00C8652E">
      <w:pPr>
        <w:pStyle w:val="p1a"/>
        <w:tabs>
          <w:tab w:val="left" w:pos="1929"/>
        </w:tabs>
      </w:pPr>
      <w:r w:rsidRPr="00D000D8">
        <w:t xml:space="preserve">Please try to avoid rasterized images for line-art diagrams and schemas. Whenever possible, use vector graphics instead (see </w:t>
      </w:r>
      <w:r w:rsidRPr="00D000D8">
        <w:fldChar w:fldCharType="begin"/>
      </w:r>
      <w:r w:rsidRPr="00D000D8">
        <w:instrText xml:space="preserve"> REF _Ref467515387 \h  \* MERGEFORMAT </w:instrText>
      </w:r>
      <w:r w:rsidRPr="00D000D8">
        <w:fldChar w:fldCharType="separate"/>
      </w:r>
      <w:r w:rsidRPr="00D000D8">
        <w:t>Fig. 1</w:t>
      </w:r>
      <w:r w:rsidRPr="00D000D8">
        <w:fldChar w:fldCharType="end"/>
      </w:r>
      <w:r w:rsidRPr="00D000D8">
        <w:t>).</w:t>
      </w:r>
    </w:p>
    <w:p w14:paraId="2749DA0C" w14:textId="77777777" w:rsidR="00C8652E" w:rsidRPr="00EE1BBB" w:rsidRDefault="00C8652E" w:rsidP="00C8652E">
      <w:pPr>
        <w:spacing w:before="360"/>
        <w:ind w:left="227" w:hanging="227"/>
      </w:pPr>
      <w:r>
        <w:rPr>
          <w:noProof/>
        </w:rPr>
        <w:drawing>
          <wp:inline distT="0" distB="0" distL="0" distR="0" wp14:anchorId="0042FDB0" wp14:editId="250AEA35">
            <wp:extent cx="4392930" cy="1859266"/>
            <wp:effectExtent l="0" t="0" r="7620" b="8255"/>
            <wp:docPr id="1" name="Diagramm 1"/>
            <wp:cNvGraphicFramePr/>
            <a:graphic xmlns:a="http://schemas.openxmlformats.org/drawingml/2006/main">
              <a:graphicData uri="http://schemas.openxmlformats.org/drawingml/2006/chart">
                <c:chart xmlns:c="http://schemas.openxmlformats.org/drawingml/2006/chart" xmlns:r="http://schemas.openxmlformats.org/officeDocument/2006/relationships" r:id="rId8"/>
              </a:graphicData>
            </a:graphic>
          </wp:inline>
        </w:drawing>
      </w:r>
    </w:p>
    <w:p w14:paraId="573EBC19" w14:textId="29650951" w:rsidR="00C8652E" w:rsidRDefault="00C8652E" w:rsidP="00C8652E">
      <w:pPr>
        <w:pStyle w:val="figurecaption"/>
        <w:jc w:val="both"/>
      </w:pPr>
      <w:bookmarkStart w:id="5" w:name="_Ref467515387"/>
      <w:r>
        <w:rPr>
          <w:b/>
        </w:rPr>
        <w:t xml:space="preserve">Fig. </w:t>
      </w:r>
      <w:r>
        <w:rPr>
          <w:b/>
        </w:rPr>
        <w:fldChar w:fldCharType="begin"/>
      </w:r>
      <w:r>
        <w:rPr>
          <w:b/>
        </w:rPr>
        <w:instrText xml:space="preserve"> SEQ "Figure" \* MERGEFORMAT </w:instrText>
      </w:r>
      <w:r>
        <w:rPr>
          <w:b/>
        </w:rPr>
        <w:fldChar w:fldCharType="separate"/>
      </w:r>
      <w:r w:rsidR="00F64AAA">
        <w:rPr>
          <w:b/>
          <w:noProof/>
        </w:rPr>
        <w:t>1</w:t>
      </w:r>
      <w:r>
        <w:rPr>
          <w:b/>
        </w:rPr>
        <w:fldChar w:fldCharType="end"/>
      </w:r>
      <w:bookmarkEnd w:id="5"/>
      <w:r>
        <w:rPr>
          <w:b/>
        </w:rPr>
        <w:t>.</w:t>
      </w:r>
      <w:r>
        <w:t xml:space="preserve"> A f</w:t>
      </w:r>
      <w:r w:rsidRPr="002D3488">
        <w:t>igure</w:t>
      </w:r>
      <w:r>
        <w:t xml:space="preserve"> caption is always placed below the illustration. Short captions are centered, while long ones are justified. The macro button chooses the correct format automatically.</w:t>
      </w:r>
    </w:p>
    <w:p w14:paraId="1CC2FEB3" w14:textId="77777777" w:rsidR="00C8652E" w:rsidRPr="00F55A71" w:rsidRDefault="00C8652E" w:rsidP="00C8652E">
      <w:pPr>
        <w:pStyle w:val="p1a"/>
      </w:pPr>
      <w:r w:rsidRPr="00F55A71">
        <w:t>For citations of references, we prefer the use of square brackets and consecutive numbers. Citations using labels or the author/year convention are also acceptable. The following bibliography provides a sample reference list with entries for journal articles [1], an LNCS chapter [2], a book [3], proceedings without editors [4], as well as a URL [5].</w:t>
      </w:r>
    </w:p>
    <w:p w14:paraId="7FB1D6EA" w14:textId="77777777" w:rsidR="00C8652E" w:rsidRDefault="00C8652E" w:rsidP="00774AA9">
      <w:pPr>
        <w:pStyle w:val="heading2"/>
        <w:numPr>
          <w:ilvl w:val="0"/>
          <w:numId w:val="0"/>
        </w:numPr>
        <w:ind w:left="567" w:hanging="567"/>
      </w:pPr>
      <w:r>
        <w:t>References</w:t>
      </w:r>
    </w:p>
    <w:p w14:paraId="648ED08F" w14:textId="77777777" w:rsidR="00C8652E" w:rsidRDefault="00C8652E" w:rsidP="00774AA9">
      <w:pPr>
        <w:pStyle w:val="referenceitem"/>
      </w:pPr>
      <w:bookmarkStart w:id="6" w:name="_Ref467516178"/>
      <w:r>
        <w:t>Author, F.: Article title. Journal 2(5), 99–110 (2016).</w:t>
      </w:r>
      <w:bookmarkEnd w:id="6"/>
    </w:p>
    <w:p w14:paraId="55E3DA09" w14:textId="77777777" w:rsidR="00C8652E" w:rsidRDefault="00C8652E" w:rsidP="00774AA9">
      <w:pPr>
        <w:pStyle w:val="referenceitem"/>
      </w:pPr>
      <w:r>
        <w:lastRenderedPageBreak/>
        <w:t xml:space="preserve">Author, F., Author, S.: Title of a proceedings paper. In: Editor, F., Editor, S. (eds.) CONFERENCE 2016, LNCS, vol. 9999, pp. 1–13. Springer, Heidelberg (2016). </w:t>
      </w:r>
    </w:p>
    <w:p w14:paraId="21306E2D" w14:textId="77777777" w:rsidR="00C8652E" w:rsidRDefault="00C8652E" w:rsidP="00774AA9">
      <w:pPr>
        <w:pStyle w:val="referenceitem"/>
      </w:pPr>
      <w:r>
        <w:t xml:space="preserve">Author, F., Author, S., Author, T.: Book title. 2nd </w:t>
      </w:r>
      <w:proofErr w:type="spellStart"/>
      <w:r>
        <w:t>edn</w:t>
      </w:r>
      <w:proofErr w:type="spellEnd"/>
      <w:r>
        <w:t>. Publisher, Location (1999).</w:t>
      </w:r>
    </w:p>
    <w:p w14:paraId="59FF8532" w14:textId="77777777" w:rsidR="00C8652E" w:rsidRDefault="00C8652E" w:rsidP="00774AA9">
      <w:pPr>
        <w:pStyle w:val="referenceitem"/>
      </w:pPr>
      <w:r>
        <w:t>Author, F.: Contribution title. In: 9th International Proceedings on Proceedings, pp. 1–2. Publisher, Location (2010).</w:t>
      </w:r>
    </w:p>
    <w:p w14:paraId="3AA5A8A1" w14:textId="77777777" w:rsidR="00C8652E" w:rsidRPr="00606587" w:rsidRDefault="00C8652E" w:rsidP="00774AA9">
      <w:pPr>
        <w:pStyle w:val="referenceitem"/>
      </w:pPr>
      <w:r>
        <w:t xml:space="preserve">LNCS Homepage, </w:t>
      </w:r>
      <w:hyperlink r:id="rId9" w:history="1">
        <w:r w:rsidRPr="00FB3EC4">
          <w:rPr>
            <w:rStyle w:val="Hyperlink"/>
          </w:rPr>
          <w:t>http://www.springer.com/lncs</w:t>
        </w:r>
      </w:hyperlink>
      <w:r>
        <w:t>, last accessed 2016/11/21.</w:t>
      </w:r>
    </w:p>
    <w:p w14:paraId="3B51B69D" w14:textId="7048BA73" w:rsidR="00DC71CD" w:rsidRPr="00C8652E" w:rsidRDefault="00DC71CD" w:rsidP="00C8652E"/>
    <w:sectPr w:rsidR="00DC71CD" w:rsidRPr="00C8652E" w:rsidSect="00DC71CD">
      <w:headerReference w:type="even" r:id="rId10"/>
      <w:headerReference w:type="default" r:id="rId11"/>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5AB2501B" w14:textId="77777777" w:rsidR="00732141" w:rsidRDefault="00732141">
      <w:pPr>
        <w:spacing w:line="240" w:lineRule="auto"/>
      </w:pPr>
      <w:r>
        <w:separator/>
      </w:r>
    </w:p>
  </w:endnote>
  <w:endnote w:type="continuationSeparator" w:id="0">
    <w:p w14:paraId="020EFCAA" w14:textId="77777777" w:rsidR="00732141" w:rsidRDefault="00732141">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decorative"/>
    <w:pitch w:val="variable"/>
    <w:sig w:usb0="00000000" w:usb1="10000000" w:usb2="00000000" w:usb3="00000000" w:csb0="80000000" w:csb1="00000000"/>
  </w:font>
  <w:font w:name="Courier">
    <w:panose1 w:val="02000500000000000000"/>
    <w:charset w:val="00"/>
    <w:family w:val="auto"/>
    <w:pitch w:val="variable"/>
    <w:sig w:usb0="00000003" w:usb1="00000000" w:usb2="00000000" w:usb3="00000000" w:csb0="00000003" w:csb1="00000000"/>
  </w:font>
  <w:font w:name="Cambria Math">
    <w:panose1 w:val="02040503050406030204"/>
    <w:charset w:val="00"/>
    <w:family w:val="roman"/>
    <w:pitch w:val="variable"/>
    <w:sig w:usb0="E00002FF" w:usb1="420024FF" w:usb2="00000000" w:usb3="00000000" w:csb0="0000019F" w:csb1="00000000"/>
  </w:font>
  <w:font w:name="Calibri Light">
    <w:panose1 w:val="020F0302020204030204"/>
    <w:charset w:val="00"/>
    <w:family w:val="swiss"/>
    <w:pitch w:val="variable"/>
    <w:sig w:usb0="E0002AFF" w:usb1="C000247B" w:usb2="00000009" w:usb3="00000000" w:csb0="000001FF" w:csb1="00000000"/>
  </w:font>
  <w:font w:name="Mangal">
    <w:panose1 w:val="02040503050203030202"/>
    <w:charset w:val="00"/>
    <w:family w:val="roman"/>
    <w:pitch w:val="variable"/>
    <w:sig w:usb0="00008003" w:usb1="00000000" w:usb2="00000000" w:usb3="00000000" w:csb0="00000001" w:csb1="00000000"/>
  </w:font>
  <w:font w:name="Calibri">
    <w:panose1 w:val="020F05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02F7F38F" w14:textId="77777777" w:rsidR="00732141" w:rsidRDefault="00732141" w:rsidP="00E35E22">
      <w:pPr>
        <w:spacing w:line="240" w:lineRule="auto"/>
        <w:ind w:firstLine="0"/>
      </w:pPr>
      <w:r>
        <w:separator/>
      </w:r>
    </w:p>
  </w:footnote>
  <w:footnote w:type="continuationSeparator" w:id="0">
    <w:p w14:paraId="35646775" w14:textId="77777777" w:rsidR="00732141" w:rsidRPr="00080DE2" w:rsidRDefault="00732141" w:rsidP="00E35E22">
      <w:pPr>
        <w:spacing w:line="240" w:lineRule="auto"/>
        <w:ind w:firstLine="0"/>
      </w:pPr>
      <w:r>
        <w: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2EC7BF9C" w14:textId="20340557" w:rsidR="00E35E22" w:rsidRDefault="00E35E22" w:rsidP="00E35E22">
    <w:pPr>
      <w:ind w:firstLine="0"/>
    </w:pPr>
    <w:r>
      <w:fldChar w:fldCharType="begin"/>
    </w:r>
    <w:r>
      <w:instrText>PAGE   \* MERGEFORMAT</w:instrText>
    </w:r>
    <w:r>
      <w:fldChar w:fldCharType="separate"/>
    </w:r>
    <w:r w:rsidRPr="00F435E6">
      <w:rPr>
        <w:noProof/>
        <w:lang w:val="de-DE"/>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6B3A3FB6" w14:textId="20D2AD34" w:rsidR="00E35E22" w:rsidRDefault="00E35E22" w:rsidP="00E35E22">
    <w:pPr>
      <w:jc w:val="right"/>
    </w:pPr>
    <w:r>
      <w:fldChar w:fldCharType="begin"/>
    </w:r>
    <w:r>
      <w:instrText>PAGE   \* MERGEFORMAT</w:instrText>
    </w:r>
    <w:r>
      <w:fldChar w:fldCharType="separate"/>
    </w:r>
    <w:r w:rsidRPr="003803D8">
      <w:rPr>
        <w:noProof/>
        <w:lang w:val="de-DE"/>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2"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3"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4"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0"/>
  </w:num>
  <w:num w:numId="2">
    <w:abstractNumId w:val="0"/>
  </w:num>
  <w:num w:numId="3">
    <w:abstractNumId w:val="1"/>
  </w:num>
  <w:num w:numId="4">
    <w:abstractNumId w:val="1"/>
  </w:num>
  <w:num w:numId="5">
    <w:abstractNumId w:val="3"/>
  </w:num>
  <w:num w:numId="6">
    <w:abstractNumId w:val="3"/>
  </w:num>
  <w:num w:numId="7">
    <w:abstractNumId w:val="2"/>
  </w:num>
  <w:num w:numId="8">
    <w:abstractNumId w:val="4"/>
  </w:num>
  <w:num w:numId="9">
    <w:abstractNumId w:val="4"/>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44"/>
  <w:proofState w:spelling="clean"/>
  <w:defaultTabStop w:val="720"/>
  <w:autoHyphenation/>
  <w:hyphenationZone w:val="400"/>
  <w:doNotHyphenateCaps/>
  <w:evenAndOddHeaders/>
  <w:drawingGridHorizontalSpacing w:val="12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7E1E6F"/>
    <w:rsid w:val="000571DF"/>
    <w:rsid w:val="000A250F"/>
    <w:rsid w:val="000F417D"/>
    <w:rsid w:val="000F7FF1"/>
    <w:rsid w:val="00136025"/>
    <w:rsid w:val="001615C9"/>
    <w:rsid w:val="001863CD"/>
    <w:rsid w:val="0020293A"/>
    <w:rsid w:val="00236CA1"/>
    <w:rsid w:val="002C648B"/>
    <w:rsid w:val="002C7412"/>
    <w:rsid w:val="002E33EC"/>
    <w:rsid w:val="003102E2"/>
    <w:rsid w:val="003853D0"/>
    <w:rsid w:val="00431509"/>
    <w:rsid w:val="00492D19"/>
    <w:rsid w:val="004E4E04"/>
    <w:rsid w:val="0052564C"/>
    <w:rsid w:val="005646E4"/>
    <w:rsid w:val="00576294"/>
    <w:rsid w:val="00582745"/>
    <w:rsid w:val="005A4ED2"/>
    <w:rsid w:val="006173B9"/>
    <w:rsid w:val="006C1DC3"/>
    <w:rsid w:val="00732141"/>
    <w:rsid w:val="00763C6F"/>
    <w:rsid w:val="00773AF4"/>
    <w:rsid w:val="00774AA9"/>
    <w:rsid w:val="00775A6A"/>
    <w:rsid w:val="007C3FA5"/>
    <w:rsid w:val="007E1E6F"/>
    <w:rsid w:val="008760F9"/>
    <w:rsid w:val="00882458"/>
    <w:rsid w:val="00891F2F"/>
    <w:rsid w:val="008C1D5E"/>
    <w:rsid w:val="008C4528"/>
    <w:rsid w:val="008E71F0"/>
    <w:rsid w:val="008F40EB"/>
    <w:rsid w:val="008F4854"/>
    <w:rsid w:val="009914E4"/>
    <w:rsid w:val="00991768"/>
    <w:rsid w:val="00991EF5"/>
    <w:rsid w:val="009949A3"/>
    <w:rsid w:val="009B7024"/>
    <w:rsid w:val="00A42D1E"/>
    <w:rsid w:val="00A75A20"/>
    <w:rsid w:val="00BD3C2E"/>
    <w:rsid w:val="00C027F8"/>
    <w:rsid w:val="00C0295E"/>
    <w:rsid w:val="00C8652E"/>
    <w:rsid w:val="00CD7EAA"/>
    <w:rsid w:val="00CE31E3"/>
    <w:rsid w:val="00CE75CB"/>
    <w:rsid w:val="00D74E8F"/>
    <w:rsid w:val="00DC71CD"/>
    <w:rsid w:val="00E3201F"/>
    <w:rsid w:val="00E35E22"/>
    <w:rsid w:val="00E37C1E"/>
    <w:rsid w:val="00E6505C"/>
    <w:rsid w:val="00EC753A"/>
    <w:rsid w:val="00EE0B7B"/>
    <w:rsid w:val="00F63000"/>
    <w:rsid w:val="00F64AAA"/>
    <w:rsid w:val="00FC4C5F"/>
    <w:rsid w:val="00FE0B72"/>
    <w:rsid w:val="00FE7235"/>
  </w:rsids>
  <m:mathPr>
    <m:mathFont m:val="Cambria Math"/>
    <m:brkBin m:val="before"/>
    <m:brkBinSub m:val="--"/>
    <m:smallFrac m:val="0"/>
    <m:dispDef/>
    <m:lMargin m:val="0"/>
    <m:rMargin m:val="0"/>
    <m:defJc m:val="centerGroup"/>
    <m:wrapIndent m:val="1440"/>
    <m:intLim m:val="subSup"/>
    <m:naryLim m:val="undOvr"/>
  </m:mathPr>
  <w:themeFontLang w:val="en-US" w:bidi="hi-IN"/>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2A294D7B"/>
  <w14:defaultImageDpi w14:val="32767"/>
  <w15:docId w15:val="{FFFFF82B-A1D2-465B-82CE-BF2A1CA965C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5">
    <w:lsdException w:name="Normal" w:qFormat="1"/>
    <w:lsdException w:name="heading 1" w:semiHidden="1"/>
    <w:lsdException w:name="heading 2" w:semiHidden="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lsdException w:name="toa heading" w:semiHidden="1" w:unhideWhenUsed="1"/>
    <w:lsdException w:name="List" w:semiHidden="1" w:unhideWhenUsed="1"/>
    <w:lsdException w:name="List Bullet" w:semiHidden="1"/>
    <w:lsdException w:name="List Number" w:semiHidden="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lsdException w:name="List Continue 4" w:semiHidden="1"/>
    <w:lsdException w:name="List Continue 5" w:semiHidden="1"/>
    <w:lsdException w:name="Message Header" w:semiHidden="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semiHidden/>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character" w:styleId="PlaceholderText">
    <w:name w:val="Placeholder Text"/>
    <w:basedOn w:val="DefaultParagraphFont"/>
    <w:semiHidden/>
    <w:rsid w:val="000571DF"/>
    <w:rPr>
      <w:color w:val="808080"/>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PROJECT.SPLNPROCMACROS.RESTOREPAGESETUP" wne:name="Project.SpLNProcMacros.RestorePageSetup" wne:bEncrypt="00" wne:cmg="56"/>
    <wne:mcd wne:macroName="PROJECT.SPLNPROCMACROS.CHECKENSURESTYLES" wne:name="Project.SpLNProcMacros.CheckEnsureStyle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allowPNG/>
</w:webSettings>
</file>

<file path=word/_rels/document.xml.rels><?xml version="1.0" encoding="UTF-8" standalone="yes"?>
<Relationships xmlns="http://schemas.openxmlformats.org/package/2006/relationships"><Relationship Id="rId8" Type="http://schemas.openxmlformats.org/officeDocument/2006/relationships/chart" Target="charts/chart1.xml"/><Relationship Id="rId13" Type="http://schemas.openxmlformats.org/officeDocument/2006/relationships/theme" Target="theme/theme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ntTable" Target="fontTable.xml"/><Relationship Id="rId2" Type="http://schemas.openxmlformats.org/officeDocument/2006/relationships/numbering" Target="numbering.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header" Target="header2.xml"/><Relationship Id="rId5" Type="http://schemas.openxmlformats.org/officeDocument/2006/relationships/webSettings" Target="webSettings.xml"/><Relationship Id="rId10" Type="http://schemas.openxmlformats.org/officeDocument/2006/relationships/header" Target="header1.xml"/><Relationship Id="rId4" Type="http://schemas.openxmlformats.org/officeDocument/2006/relationships/settings" Target="settings.xml"/><Relationship Id="rId9" Type="http://schemas.openxmlformats.org/officeDocument/2006/relationships/hyperlink" Target="http://www.springer.com/lncs"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charts/_rels/chart1.xml.rels><?xml version="1.0" encoding="UTF-8" standalone="yes"?>
<Relationships xmlns="http://schemas.openxmlformats.org/package/2006/relationships"><Relationship Id="rId1" Type="http://schemas.openxmlformats.org/officeDocument/2006/relationships/oleObject" Target="file:////DISKSTATION\backup\Springer\LNCS%20Templates\2016\Test.xlsx" TargetMode="External"/></Relationships>
</file>

<file path=word/charts/chart1.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autoTitleDeleted val="0"/>
    <c:plotArea>
      <c:layout>
        <c:manualLayout>
          <c:layoutTarget val="inner"/>
          <c:xMode val="edge"/>
          <c:yMode val="edge"/>
          <c:x val="5.0778005922154201E-2"/>
          <c:y val="5.1400554097404502E-2"/>
          <c:w val="0.94049952150364002"/>
          <c:h val="0.83261956838728501"/>
        </c:manualLayout>
      </c:layout>
      <c:lineChart>
        <c:grouping val="standard"/>
        <c:varyColors val="0"/>
        <c:ser>
          <c:idx val="0"/>
          <c:order val="0"/>
          <c:tx>
            <c:strRef>
              <c:f>Tabelle1!$B$1</c:f>
              <c:strCache>
                <c:ptCount val="1"/>
                <c:pt idx="0">
                  <c:v>Data A</c:v>
                </c:pt>
              </c:strCache>
            </c:strRef>
          </c:tx>
          <c:spPr>
            <a:ln w="12700">
              <a:solidFill>
                <a:schemeClr val="tx1"/>
              </a:solidFill>
              <a:prstDash val="sysDash"/>
            </a:ln>
          </c:spPr>
          <c:marker>
            <c:symbol val="none"/>
          </c:marker>
          <c:dPt>
            <c:idx val="9"/>
            <c:bubble3D val="0"/>
            <c:extLst>
              <c:ext xmlns:c16="http://schemas.microsoft.com/office/drawing/2014/chart" uri="{C3380CC4-5D6E-409C-BE32-E72D297353CC}">
                <c16:uniqueId val="{00000000-8B5D-4D46-B474-D5B0F6CD9DA0}"/>
              </c:ext>
            </c:extLst>
          </c:dPt>
          <c:cat>
            <c:numRef>
              <c:f>Tabelle1!$A$2:$A$32</c:f>
              <c:numCache>
                <c:formatCode>General</c:formatCode>
                <c:ptCount val="31"/>
                <c:pt idx="0">
                  <c:v>0</c:v>
                </c:pt>
                <c:pt idx="1">
                  <c:v>1</c:v>
                </c:pt>
                <c:pt idx="2">
                  <c:v>2</c:v>
                </c:pt>
                <c:pt idx="3">
                  <c:v>3</c:v>
                </c:pt>
                <c:pt idx="4">
                  <c:v>4</c:v>
                </c:pt>
                <c:pt idx="5">
                  <c:v>5</c:v>
                </c:pt>
                <c:pt idx="6">
                  <c:v>6</c:v>
                </c:pt>
                <c:pt idx="7">
                  <c:v>7</c:v>
                </c:pt>
                <c:pt idx="8">
                  <c:v>8</c:v>
                </c:pt>
                <c:pt idx="9">
                  <c:v>9</c:v>
                </c:pt>
                <c:pt idx="10">
                  <c:v>10</c:v>
                </c:pt>
                <c:pt idx="11">
                  <c:v>11</c:v>
                </c:pt>
                <c:pt idx="12">
                  <c:v>12</c:v>
                </c:pt>
                <c:pt idx="13">
                  <c:v>13</c:v>
                </c:pt>
                <c:pt idx="14">
                  <c:v>14</c:v>
                </c:pt>
                <c:pt idx="15">
                  <c:v>15</c:v>
                </c:pt>
                <c:pt idx="16">
                  <c:v>16</c:v>
                </c:pt>
                <c:pt idx="17">
                  <c:v>17</c:v>
                </c:pt>
                <c:pt idx="18">
                  <c:v>18</c:v>
                </c:pt>
                <c:pt idx="19">
                  <c:v>19</c:v>
                </c:pt>
                <c:pt idx="20">
                  <c:v>20</c:v>
                </c:pt>
                <c:pt idx="21">
                  <c:v>21</c:v>
                </c:pt>
                <c:pt idx="22">
                  <c:v>22</c:v>
                </c:pt>
                <c:pt idx="23">
                  <c:v>23</c:v>
                </c:pt>
                <c:pt idx="24">
                  <c:v>24</c:v>
                </c:pt>
                <c:pt idx="25">
                  <c:v>25</c:v>
                </c:pt>
                <c:pt idx="26">
                  <c:v>26</c:v>
                </c:pt>
                <c:pt idx="27">
                  <c:v>27</c:v>
                </c:pt>
                <c:pt idx="28">
                  <c:v>28</c:v>
                </c:pt>
                <c:pt idx="29">
                  <c:v>29</c:v>
                </c:pt>
                <c:pt idx="30">
                  <c:v>30</c:v>
                </c:pt>
              </c:numCache>
            </c:numRef>
          </c:cat>
          <c:val>
            <c:numRef>
              <c:f>Tabelle1!$B$2:$B$32</c:f>
              <c:numCache>
                <c:formatCode>General</c:formatCode>
                <c:ptCount val="31"/>
                <c:pt idx="0">
                  <c:v>0</c:v>
                </c:pt>
                <c:pt idx="1">
                  <c:v>2</c:v>
                </c:pt>
                <c:pt idx="2">
                  <c:v>1</c:v>
                </c:pt>
                <c:pt idx="3">
                  <c:v>3</c:v>
                </c:pt>
                <c:pt idx="4">
                  <c:v>4</c:v>
                </c:pt>
                <c:pt idx="5">
                  <c:v>5</c:v>
                </c:pt>
                <c:pt idx="6">
                  <c:v>7</c:v>
                </c:pt>
                <c:pt idx="7">
                  <c:v>3</c:v>
                </c:pt>
                <c:pt idx="8">
                  <c:v>5</c:v>
                </c:pt>
                <c:pt idx="9">
                  <c:v>4</c:v>
                </c:pt>
                <c:pt idx="10">
                  <c:v>8</c:v>
                </c:pt>
                <c:pt idx="11">
                  <c:v>10</c:v>
                </c:pt>
                <c:pt idx="12">
                  <c:v>11</c:v>
                </c:pt>
                <c:pt idx="13">
                  <c:v>13</c:v>
                </c:pt>
                <c:pt idx="14">
                  <c:v>16</c:v>
                </c:pt>
                <c:pt idx="15">
                  <c:v>15</c:v>
                </c:pt>
                <c:pt idx="16">
                  <c:v>12</c:v>
                </c:pt>
                <c:pt idx="17">
                  <c:v>18</c:v>
                </c:pt>
                <c:pt idx="18">
                  <c:v>19</c:v>
                </c:pt>
                <c:pt idx="19">
                  <c:v>21</c:v>
                </c:pt>
                <c:pt idx="20">
                  <c:v>8</c:v>
                </c:pt>
                <c:pt idx="21">
                  <c:v>12</c:v>
                </c:pt>
                <c:pt idx="22">
                  <c:v>11</c:v>
                </c:pt>
                <c:pt idx="23">
                  <c:v>9</c:v>
                </c:pt>
                <c:pt idx="24">
                  <c:v>13</c:v>
                </c:pt>
                <c:pt idx="25">
                  <c:v>19</c:v>
                </c:pt>
                <c:pt idx="26">
                  <c:v>26</c:v>
                </c:pt>
                <c:pt idx="27">
                  <c:v>31</c:v>
                </c:pt>
                <c:pt idx="28">
                  <c:v>32</c:v>
                </c:pt>
                <c:pt idx="29">
                  <c:v>39</c:v>
                </c:pt>
                <c:pt idx="30">
                  <c:v>45</c:v>
                </c:pt>
              </c:numCache>
            </c:numRef>
          </c:val>
          <c:smooth val="0"/>
          <c:extLst>
            <c:ext xmlns:c16="http://schemas.microsoft.com/office/drawing/2014/chart" uri="{C3380CC4-5D6E-409C-BE32-E72D297353CC}">
              <c16:uniqueId val="{00000001-8B5D-4D46-B474-D5B0F6CD9DA0}"/>
            </c:ext>
          </c:extLst>
        </c:ser>
        <c:ser>
          <c:idx val="1"/>
          <c:order val="1"/>
          <c:tx>
            <c:strRef>
              <c:f>Tabelle1!$C$1</c:f>
              <c:strCache>
                <c:ptCount val="1"/>
                <c:pt idx="0">
                  <c:v>Data B</c:v>
                </c:pt>
              </c:strCache>
            </c:strRef>
          </c:tx>
          <c:spPr>
            <a:ln w="12700"/>
          </c:spPr>
          <c:marker>
            <c:symbol val="none"/>
          </c:marker>
          <c:cat>
            <c:numRef>
              <c:f>Tabelle1!$A$2:$A$32</c:f>
              <c:numCache>
                <c:formatCode>General</c:formatCode>
                <c:ptCount val="31"/>
                <c:pt idx="0">
                  <c:v>0</c:v>
                </c:pt>
                <c:pt idx="1">
                  <c:v>1</c:v>
                </c:pt>
                <c:pt idx="2">
                  <c:v>2</c:v>
                </c:pt>
                <c:pt idx="3">
                  <c:v>3</c:v>
                </c:pt>
                <c:pt idx="4">
                  <c:v>4</c:v>
                </c:pt>
                <c:pt idx="5">
                  <c:v>5</c:v>
                </c:pt>
                <c:pt idx="6">
                  <c:v>6</c:v>
                </c:pt>
                <c:pt idx="7">
                  <c:v>7</c:v>
                </c:pt>
                <c:pt idx="8">
                  <c:v>8</c:v>
                </c:pt>
                <c:pt idx="9">
                  <c:v>9</c:v>
                </c:pt>
                <c:pt idx="10">
                  <c:v>10</c:v>
                </c:pt>
                <c:pt idx="11">
                  <c:v>11</c:v>
                </c:pt>
                <c:pt idx="12">
                  <c:v>12</c:v>
                </c:pt>
                <c:pt idx="13">
                  <c:v>13</c:v>
                </c:pt>
                <c:pt idx="14">
                  <c:v>14</c:v>
                </c:pt>
                <c:pt idx="15">
                  <c:v>15</c:v>
                </c:pt>
                <c:pt idx="16">
                  <c:v>16</c:v>
                </c:pt>
                <c:pt idx="17">
                  <c:v>17</c:v>
                </c:pt>
                <c:pt idx="18">
                  <c:v>18</c:v>
                </c:pt>
                <c:pt idx="19">
                  <c:v>19</c:v>
                </c:pt>
                <c:pt idx="20">
                  <c:v>20</c:v>
                </c:pt>
                <c:pt idx="21">
                  <c:v>21</c:v>
                </c:pt>
                <c:pt idx="22">
                  <c:v>22</c:v>
                </c:pt>
                <c:pt idx="23">
                  <c:v>23</c:v>
                </c:pt>
                <c:pt idx="24">
                  <c:v>24</c:v>
                </c:pt>
                <c:pt idx="25">
                  <c:v>25</c:v>
                </c:pt>
                <c:pt idx="26">
                  <c:v>26</c:v>
                </c:pt>
                <c:pt idx="27">
                  <c:v>27</c:v>
                </c:pt>
                <c:pt idx="28">
                  <c:v>28</c:v>
                </c:pt>
                <c:pt idx="29">
                  <c:v>29</c:v>
                </c:pt>
                <c:pt idx="30">
                  <c:v>30</c:v>
                </c:pt>
              </c:numCache>
            </c:numRef>
          </c:cat>
          <c:val>
            <c:numRef>
              <c:f>Tabelle1!$C$2:$C$32</c:f>
              <c:numCache>
                <c:formatCode>General</c:formatCode>
                <c:ptCount val="31"/>
                <c:pt idx="0">
                  <c:v>16</c:v>
                </c:pt>
                <c:pt idx="1">
                  <c:v>13</c:v>
                </c:pt>
                <c:pt idx="2">
                  <c:v>14</c:v>
                </c:pt>
                <c:pt idx="3">
                  <c:v>15</c:v>
                </c:pt>
                <c:pt idx="4">
                  <c:v>17</c:v>
                </c:pt>
                <c:pt idx="5">
                  <c:v>16.5</c:v>
                </c:pt>
                <c:pt idx="6">
                  <c:v>18</c:v>
                </c:pt>
                <c:pt idx="7">
                  <c:v>19.3</c:v>
                </c:pt>
                <c:pt idx="8">
                  <c:v>12.4</c:v>
                </c:pt>
                <c:pt idx="9">
                  <c:v>14.6</c:v>
                </c:pt>
                <c:pt idx="10">
                  <c:v>16.5</c:v>
                </c:pt>
                <c:pt idx="11">
                  <c:v>15.3</c:v>
                </c:pt>
                <c:pt idx="12">
                  <c:v>14</c:v>
                </c:pt>
                <c:pt idx="13">
                  <c:v>14.7</c:v>
                </c:pt>
                <c:pt idx="14">
                  <c:v>13.9</c:v>
                </c:pt>
                <c:pt idx="15">
                  <c:v>12.2</c:v>
                </c:pt>
                <c:pt idx="16">
                  <c:v>16.8</c:v>
                </c:pt>
                <c:pt idx="17">
                  <c:v>17.100000000000001</c:v>
                </c:pt>
                <c:pt idx="18">
                  <c:v>19.2</c:v>
                </c:pt>
                <c:pt idx="19">
                  <c:v>18.25</c:v>
                </c:pt>
                <c:pt idx="20">
                  <c:v>22</c:v>
                </c:pt>
                <c:pt idx="21" formatCode="#.##000_ ;\-#.##000\ ">
                  <c:v>24</c:v>
                </c:pt>
                <c:pt idx="22" formatCode="#.##000_ ;\-#.##000\ ">
                  <c:v>25</c:v>
                </c:pt>
                <c:pt idx="23" formatCode="#.##000_ ;\-#.##000\ ">
                  <c:v>23.5</c:v>
                </c:pt>
                <c:pt idx="24" formatCode="#.##000_ ;\-#.##000\ ">
                  <c:v>21</c:v>
                </c:pt>
                <c:pt idx="25" formatCode="#.##000_ ;\-#.##000\ ">
                  <c:v>16.899999999999999</c:v>
                </c:pt>
                <c:pt idx="26" formatCode="#.##000_ ;\-#.##000\ ">
                  <c:v>17.5</c:v>
                </c:pt>
                <c:pt idx="27" formatCode="#.##000_ ;\-#.##000\ ">
                  <c:v>18.2</c:v>
                </c:pt>
                <c:pt idx="28" formatCode="#.##000_ ;\-#.##000\ ">
                  <c:v>19.100000000000001</c:v>
                </c:pt>
                <c:pt idx="29" formatCode="#.##000_ ;\-#.##000\ ">
                  <c:v>14.8</c:v>
                </c:pt>
                <c:pt idx="30" formatCode="#.##000_ ;\-#.##000\ ">
                  <c:v>15.2</c:v>
                </c:pt>
              </c:numCache>
            </c:numRef>
          </c:val>
          <c:smooth val="0"/>
          <c:extLst>
            <c:ext xmlns:c16="http://schemas.microsoft.com/office/drawing/2014/chart" uri="{C3380CC4-5D6E-409C-BE32-E72D297353CC}">
              <c16:uniqueId val="{00000002-8B5D-4D46-B474-D5B0F6CD9DA0}"/>
            </c:ext>
          </c:extLst>
        </c:ser>
        <c:dLbls>
          <c:showLegendKey val="0"/>
          <c:showVal val="0"/>
          <c:showCatName val="0"/>
          <c:showSerName val="0"/>
          <c:showPercent val="0"/>
          <c:showBubbleSize val="0"/>
        </c:dLbls>
        <c:smooth val="0"/>
        <c:axId val="-1092975632"/>
        <c:axId val="-1092973312"/>
      </c:lineChart>
      <c:catAx>
        <c:axId val="-1092975632"/>
        <c:scaling>
          <c:orientation val="minMax"/>
        </c:scaling>
        <c:delete val="0"/>
        <c:axPos val="b"/>
        <c:numFmt formatCode="General" sourceLinked="1"/>
        <c:majorTickMark val="out"/>
        <c:minorTickMark val="none"/>
        <c:tickLblPos val="nextTo"/>
        <c:crossAx val="-1092973312"/>
        <c:crosses val="autoZero"/>
        <c:auto val="1"/>
        <c:lblAlgn val="ctr"/>
        <c:lblOffset val="100"/>
        <c:tickLblSkip val="5"/>
        <c:noMultiLvlLbl val="0"/>
      </c:catAx>
      <c:valAx>
        <c:axId val="-1092973312"/>
        <c:scaling>
          <c:orientation val="minMax"/>
        </c:scaling>
        <c:delete val="0"/>
        <c:axPos val="l"/>
        <c:majorGridlines>
          <c:spPr>
            <a:ln>
              <a:noFill/>
            </a:ln>
          </c:spPr>
        </c:majorGridlines>
        <c:numFmt formatCode="General" sourceLinked="1"/>
        <c:majorTickMark val="out"/>
        <c:minorTickMark val="none"/>
        <c:tickLblPos val="nextTo"/>
        <c:crossAx val="-1092975632"/>
        <c:crossesAt val="1"/>
        <c:crossBetween val="midCat"/>
      </c:valAx>
    </c:plotArea>
    <c:legend>
      <c:legendPos val="r"/>
      <c:layout>
        <c:manualLayout>
          <c:xMode val="edge"/>
          <c:yMode val="edge"/>
          <c:x val="0.13960322214804799"/>
          <c:y val="0.16628280839894999"/>
          <c:w val="0.190301595637834"/>
          <c:h val="0.1674343832021"/>
        </c:manualLayout>
      </c:layout>
      <c:overlay val="0"/>
    </c:legend>
    <c:plotVisOnly val="1"/>
    <c:dispBlanksAs val="gap"/>
    <c:showDLblsOverMax val="0"/>
  </c:chart>
  <c:spPr>
    <a:ln>
      <a:noFill/>
    </a:ln>
  </c:spPr>
  <c:txPr>
    <a:bodyPr/>
    <a:lstStyle/>
    <a:p>
      <a:pPr>
        <a:defRPr sz="800"/>
      </a:pPr>
      <a:endParaRPr lang="en-US"/>
    </a:p>
  </c:txPr>
  <c:externalData r:id="rId1">
    <c:autoUpdate val="0"/>
  </c:externalData>
</c:chartSpace>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Yu Gothic Light"/>
        <a:font script="Hang" typeface="맑은 고딕"/>
        <a:font script="Hans" typeface="DengXian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Yu Mincho"/>
        <a:font script="Hang" typeface="맑은 고딕"/>
        <a:font script="Hans" typeface="DengXian"/>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FigCaption" Type="http://schemas.openxmlformats.org/officeDocument/2006/relationships/image" Target="images/FigCaption.png"/><Relationship Id="papertitle" Type="http://schemas.openxmlformats.org/officeDocument/2006/relationships/image" Target="images/papertitle.png"/><Relationship Id="ORCID" Type="http://schemas.openxmlformats.org/officeDocument/2006/relationships/image" Target="images/ORCID.png"/><Relationship Id="removespace" Type="http://schemas.openxmlformats.org/officeDocument/2006/relationships/image" Target="images/removespace.png"/><Relationship Id="bulletitem" Type="http://schemas.openxmlformats.org/officeDocument/2006/relationships/image" Target="images/bulletitem.png"/><Relationship Id="arrowleft" Type="http://schemas.openxmlformats.org/officeDocument/2006/relationships/image" Target="images/arrowleft.png"/><Relationship Id="addspace" Type="http://schemas.openxmlformats.org/officeDocument/2006/relationships/image" Target="images/addspace.png"/><Relationship Id="togglenumbering" Type="http://schemas.openxmlformats.org/officeDocument/2006/relationships/image" Target="images/togglenumbering.png"/><Relationship Id="referenceitem" Type="http://schemas.openxmlformats.org/officeDocument/2006/relationships/image" Target="images/referenceitem.png"/><Relationship Id="eqnumber" Type="http://schemas.openxmlformats.org/officeDocument/2006/relationships/image" Target="images/eqnumber.png"/><Relationship Id="normalspace" Type="http://schemas.openxmlformats.org/officeDocument/2006/relationships/image" Target="images/normalspace.png"/><Relationship Id="RedoStyles" Type="http://schemas.openxmlformats.org/officeDocument/2006/relationships/image" Target="images/RedoStyles.png"/><Relationship Id="arrowright" Type="http://schemas.openxmlformats.org/officeDocument/2006/relationships/image" Target="images/arrowright.png"/><Relationship Id="abstract" Type="http://schemas.openxmlformats.org/officeDocument/2006/relationships/image" Target="images/abstract.png"/><Relationship Id="TabCaption" Type="http://schemas.openxmlformats.org/officeDocument/2006/relationships/image" Target="images/TabCaption.png"/><Relationship Id="equation" Type="http://schemas.openxmlformats.org/officeDocument/2006/relationships/image" Target="images/equation.png"/><Relationship Id="normal" Type="http://schemas.openxmlformats.org/officeDocument/2006/relationships/image" Target="images/normal.png"/><Relationship Id="squeeze" Type="http://schemas.openxmlformats.org/officeDocument/2006/relationships/image" Target="images/squeeze.png"/><Relationship Id="InsertImage" Type="http://schemas.openxmlformats.org/officeDocument/2006/relationships/image" Target="images/InsertImage.png"/><Relationship Id="expand" Type="http://schemas.openxmlformats.org/officeDocument/2006/relationships/image" Target="images/expand.png"/><Relationship Id="InsertImage24" Type="http://schemas.openxmlformats.org/officeDocument/2006/relationships/image" Target="images/InsertImage24.png"/><Relationship Id="TabCaption24" Type="http://schemas.openxmlformats.org/officeDocument/2006/relationships/image" Target="images/TabCaption24.png"/><Relationship Id="FigCaption24" Type="http://schemas.openxmlformats.org/officeDocument/2006/relationships/image" Target="images/FigCaption24.png"/><Relationship Id="numitem" Type="http://schemas.openxmlformats.org/officeDocument/2006/relationships/image" Target="images/numitem.png"/><Relationship Id="papersubtitle" Type="http://schemas.openxmlformats.org/officeDocument/2006/relationships/image" Target="images/subtitle.png"/><Relationship Id="dashitem" Type="http://schemas.openxmlformats.org/officeDocument/2006/relationships/image" Target="images/dashitem.png"/><Relationship Id="address" Type="http://schemas.openxmlformats.org/officeDocument/2006/relationships/image" Target="images/address.png"/><Relationship Id="HeaderFooter" Type="http://schemas.openxmlformats.org/officeDocument/2006/relationships/image" Target="images/HeaderFooter.png"/><Relationship Id="author" Type="http://schemas.openxmlformats.org/officeDocument/2006/relationships/image" Target="images/author.png"/></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the selected text as paper title"/>
          <button id="btnSubtitle" label="Subtitle" image="papersubtitle" size="large" onAction="MakeSubtitle" screentip="Format the selected text as paper subtitle (optional)"/>
          <button id="btnAuthor" label="Author" image="author" size="large" onAction="MakeAuthor" screentip="Format the selected text as paper author(s)"/>
          <box id="box1" boxStyle="vertical">
            <button id="btnORCID" label="ORCID" image="ORCID" size="normal" onAction="MakeORCID" screentip="Format the selected text as ORCID id" supertip="Please note that ORCID ids will not be printed. In the online version they will be replaced by icons that are linked to the related ORCID pages."/>
          </box>
          <box id="box11">
            <button id="btnAddress" label="Address" image="address" size="normal" onAction="MakeAddress" screentip="Format the selected text as affiliation (including e-mail address, URL)"/>
          </box>
          <box id="box12">
            <button id="btnEmail" label="E-mail" imageMso="EnvelopesAndLabelsDialog" size="normal" onAction="MakeEMail" screentip="Format the selected text as e-mail address or URL (apply typewriter style)"/>
          </box>
          <button id="btnAbstract" label="Abstract" image="abstract" size="large" onAction="MakeAbstract" screentip="Format the selected text as abstract" supertip="If not present, the word 'Abstract' is added at the beginning of the first paragraph."/>
          <button id="btnKeywords" label="Keywords" imageMso="ReviewTrackChanges" size="large" onAction="MakeKeywords" screentip="Format the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the selected text as heading (level 1)"/>
          <button id="btnH2" label="H2" imageMso="PivotTableLayoutShowInCompactForm" size="large" onAction="H2" screentip="Format the selected text as heading (level 2)"/>
          <button id="btnH3" label="H3" imageMso="PivotTableLayoutBlankRows" size="large" onAction="H3" screentip="Format the selected text as an unnumbered heading (level 3)"/>
          <button id="btnH4" label="H4" imageMso="PivotTableLayoutSubtotals" size="large" onAction="H4" screentip="Format the selected text as an unnumbered heading (level 4)"/>
          <box id="box2" boxStyle="vertical">
            <button id="btnBullet" label="Bullet Item" image="bulletitem" onAction="MakeBulletItem" screentip="Format the selected text as bullet item(s)" supertip="Please note that bullets are the default for unnumbered lists in Springer proceedings."/>
          </box>
          <box id="box21" boxStyle="vertical">
            <button id="btnDash" label="Dash Item" image="dashitem" onAction="MakeDashItem" screentip="Format the selected text as dash item(s)" supertip="Please note that bullets are the default for unnumbered lists in Springer proceedings."/>
          </box>
          <box id="box22" boxStyle="vertical">
            <button id="btnNumbered" label="Num Item" image="numitem" onAction="MakeNumItem" screentip="Format the selected text as numbered item(s)"/>
          </box>
          <box id="box3" boxStyle="horizontal">
            <button id="btnListLevelUp" label="List Level +" image="arrowright" onAction="ListLevelUp" screentip="Move the selected text one level up in the list hierarchy" supertip="This buttton can be used to create and edit nested lists (numbered and unnumbered)."/>
          </box>
          <box id="box31" boxStyle="vertical">
            <button id="btnListLevelDown" label="List Level -" image="arrowleft" onAction="ListLevelDown" screentip="Move the selected text one level down in the list hierarchy" supertip="This buttton can be used to create and edit nested lists (numbered and unnumbered)."/>
          </box>
          <box id="box23" boxStyle="vertical">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utton id="btnAddSpace" label="Add Space" image="addspace" onAction="AddVerticalSpace" screentip="Add 6 pt (2.1 mm) of vertical space before the selected paragraph."/>
          </box>
          <box id="box41">
            <button id="btnClearSpace" label="Clear Space" image="removespace" onAction="ClearVerticalSpace" screentip="Clear any vertical space before and after the selected text"/>
          </box>
          <box id="box42">
            <button id="btnFootnote" label="Footnote" imageMso="FootnoteInsert" onAction="InsertFN" screentip="Add a footnote"/>
          </box>
          <button id="btnReference" label="Reference Item" image="referenceitem" size="large" onAction="MakeRefItem" screentip="Format the selected text as reference item"/>
        </group>
        <group id="grSpecialFormats" label="Figures, Tables, Equations" autoScale="true">
          <box id="box5" boxStyle="horizontal">
            <button id="btnInsImage" label="Insert Image    " image="InsertImage24" onAction="InsertImage" screentip="Insert an image"/>
            <button id="btnTable" label="Table Caption" image="TabCaption24" onAction="MakeTableCaption" screentip="Format the selected text as table caption" supertip="Please note that the table is numbered with an automatic counter that is updated whenever you reopen the document. A table caption should always be positioned above the related table."/>
          </box>
          <box id="box51" boxStyle="horizontal">
            <button id="btnFigure" label="Figure Caption" image="FigCaption24" onAction="MakeFigCaption" screentip="Format the selected text as figure caption" supertip="Please note that the figure is numbered with an automatic counter that is updated whenever you reopen the document. A figure caption should always be positioned below the related figure."/>
            <gallery idMso="TableInsertGallery" label="Insert Table"/>
          </box>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docProps/app.xml><?xml version="1.0" encoding="utf-8"?>
<Properties xmlns="http://schemas.openxmlformats.org/officeDocument/2006/extended-properties" xmlns:vt="http://schemas.openxmlformats.org/officeDocument/2006/docPropsVTypes">
  <Template>Normal.dotm</Template>
  <TotalTime>276</TotalTime>
  <Pages>6</Pages>
  <Words>1775</Words>
  <Characters>10118</Characters>
  <Application>Microsoft Office Word</Application>
  <DocSecurity>0</DocSecurity>
  <Lines>84</Lines>
  <Paragraphs>23</Paragraphs>
  <ScaleCrop>false</ScaleCrop>
  <HeadingPairs>
    <vt:vector size="2" baseType="variant">
      <vt:variant>
        <vt:lpstr>Title</vt:lpstr>
      </vt:variant>
      <vt:variant>
        <vt:i4>1</vt:i4>
      </vt:variant>
    </vt:vector>
  </HeadingPairs>
  <TitlesOfParts>
    <vt:vector size="1" baseType="lpstr">
      <vt:lpstr/>
    </vt:vector>
  </TitlesOfParts>
  <Company>Microsoft</Company>
  <LinksUpToDate>false</LinksUpToDate>
  <CharactersWithSpaces>11870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cp:lastModifiedBy>Yash Vyas</cp:lastModifiedBy>
  <cp:revision>11</cp:revision>
  <dcterms:created xsi:type="dcterms:W3CDTF">2020-11-26T13:19:00Z</dcterms:created>
  <dcterms:modified xsi:type="dcterms:W3CDTF">2020-12-06T17:50:00Z</dcterms:modified>
</cp:coreProperties>
</file>