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60" w:before="300"/>
      </w:pPr>
      <w:r>
        <w:rPr>
          <w:b/>
          <w:bCs/>
        </w:rPr>
        <w:t xml:space="preserve">5.2.4 Comparación y Validación de Resultados: Modelo Continuo Analítico vs. Simulación de Eventos Discretos</w:t>
      </w:r>
    </w:p>
    <w:p>
      <w:pPr>
        <w:spacing w:after="180" w:line="276"/>
        <w:jc w:val="both"/>
      </w:pPr>
      <w:r>
        <w:rPr>
          <w:rFonts w:ascii="Calibri" w:cs="Calibri" w:eastAsia="Calibri" w:hAnsi="Calibri"/>
          <w:b w:val="false"/>
          <w:bCs w:val="false"/>
          <w:i w:val="false"/>
          <w:iCs w:val="false"/>
          <w:sz w:val="22"/>
          <w:szCs w:val="22"/>
        </w:rPr>
        <w:t xml:space="preserve">Al contrastar los resultados del modelo analítico continuo (basado en las curvas teóricas de Coss Bu) frente a las corridas estocásticas ejecutadas en Microsoft Excel y Java, se observa una discrepancia de optimización sumamente enriquecedora para el análisis de sistemas:</w:t>
      </w:r>
    </w:p>
    <w:p>
      <w:pPr>
        <w:pStyle w:val="ListParagraph"/>
        <w:numPr>
          <w:ilvl w:val="0"/>
          <w:numId w:val="2"/>
        </w:numPr>
        <w:spacing w:after="140" w:line="276"/>
        <w:jc w:val="both"/>
      </w:pPr>
      <w:r>
        <w:rPr>
          <w:rFonts w:ascii="Calibri" w:cs="Calibri" w:eastAsia="Calibri" w:hAnsi="Calibri"/>
          <w:b/>
          <w:bCs/>
          <w:i w:val="false"/>
          <w:iCs w:val="false"/>
          <w:sz w:val="22"/>
          <w:szCs w:val="22"/>
        </w:rPr>
        <w:t xml:space="preserve">Modelo Analítico Continuo (Coss Bu): </w:t>
      </w:r>
      <w:r>
        <w:rPr>
          <w:rFonts w:ascii="Calibri" w:cs="Calibri" w:eastAsia="Calibri" w:hAnsi="Calibri"/>
          <w:b w:val="false"/>
          <w:bCs w:val="false"/>
          <w:i w:val="false"/>
          <w:iCs w:val="false"/>
          <w:sz w:val="22"/>
          <w:szCs w:val="22"/>
        </w:rPr>
        <w:t xml:space="preserve">Determina que el tamaño de flota óptimo es de </w:t>
      </w:r>
      <w:r>
        <w:rPr>
          <w:rFonts w:ascii="Calibri" w:cs="Calibri" w:eastAsia="Calibri" w:hAnsi="Calibri"/>
          <w:b/>
          <w:bCs/>
          <w:i w:val="false"/>
          <w:iCs w:val="false"/>
          <w:sz w:val="22"/>
          <w:szCs w:val="22"/>
        </w:rPr>
        <w:t xml:space="preserve">12 camiones</w:t>
      </w:r>
      <w:r>
        <w:rPr>
          <w:rFonts w:ascii="Calibri" w:cs="Calibri" w:eastAsia="Calibri" w:hAnsi="Calibri"/>
          <w:b w:val="false"/>
          <w:bCs w:val="false"/>
          <w:i w:val="false"/>
          <w:iCs w:val="false"/>
          <w:sz w:val="22"/>
          <w:szCs w:val="22"/>
        </w:rPr>
        <w:t xml:space="preserve"> (Costo Total Anual de </w:t>
      </w:r>
      <w:r>
        <w:rPr>
          <w:rFonts w:ascii="Calibri" w:cs="Calibri" w:eastAsia="Calibri" w:hAnsi="Calibri"/>
          <w:b/>
          <w:bCs/>
          <w:i w:val="false"/>
          <w:iCs w:val="false"/>
          <w:sz w:val="22"/>
          <w:szCs w:val="22"/>
        </w:rPr>
        <w:t xml:space="preserve">$1,379,259.50</w:t>
      </w:r>
      <w:r>
        <w:rPr>
          <w:rFonts w:ascii="Calibri" w:cs="Calibri" w:eastAsia="Calibri" w:hAnsi="Calibri"/>
          <w:b w:val="false"/>
          <w:bCs w:val="false"/>
          <w:i w:val="false"/>
          <w:iCs w:val="false"/>
          <w:sz w:val="22"/>
          <w:szCs w:val="22"/>
        </w:rPr>
        <w:t xml:space="preserve">).</w:t>
      </w:r>
    </w:p>
    <w:p>
      <w:pPr>
        <w:pStyle w:val="ListParagraph"/>
        <w:numPr>
          <w:ilvl w:val="0"/>
          <w:numId w:val="2"/>
        </w:numPr>
        <w:spacing w:after="140" w:line="276"/>
        <w:jc w:val="both"/>
      </w:pPr>
      <w:r>
        <w:rPr>
          <w:rFonts w:ascii="Calibri" w:cs="Calibri" w:eastAsia="Calibri" w:hAnsi="Calibri"/>
          <w:b/>
          <w:bCs/>
          <w:i w:val="false"/>
          <w:iCs w:val="false"/>
          <w:sz w:val="22"/>
          <w:szCs w:val="22"/>
        </w:rPr>
        <w:t xml:space="preserve">Modelo Simulado de Eventos Discretos (Excel/Java): </w:t>
      </w:r>
      <w:r>
        <w:rPr>
          <w:rFonts w:ascii="Calibri" w:cs="Calibri" w:eastAsia="Calibri" w:hAnsi="Calibri"/>
          <w:b w:val="false"/>
          <w:bCs w:val="false"/>
          <w:i w:val="false"/>
          <w:iCs w:val="false"/>
          <w:sz w:val="22"/>
          <w:szCs w:val="22"/>
        </w:rPr>
        <w:t xml:space="preserve">Determina que el tamaño de flota óptimo es de </w:t>
      </w:r>
      <w:r>
        <w:rPr>
          <w:rFonts w:ascii="Calibri" w:cs="Calibri" w:eastAsia="Calibri" w:hAnsi="Calibri"/>
          <w:b/>
          <w:bCs/>
          <w:i w:val="false"/>
          <w:iCs w:val="false"/>
          <w:sz w:val="22"/>
          <w:szCs w:val="22"/>
        </w:rPr>
        <w:t xml:space="preserve">11 camiones</w:t>
      </w:r>
      <w:r>
        <w:rPr>
          <w:rFonts w:ascii="Calibri" w:cs="Calibri" w:eastAsia="Calibri" w:hAnsi="Calibri"/>
          <w:b w:val="false"/>
          <w:bCs w:val="false"/>
          <w:i w:val="false"/>
          <w:iCs w:val="false"/>
          <w:sz w:val="22"/>
          <w:szCs w:val="22"/>
        </w:rPr>
        <w:t xml:space="preserve"> (Costo Total Anual de </w:t>
      </w:r>
      <w:r>
        <w:rPr>
          <w:rFonts w:ascii="Calibri" w:cs="Calibri" w:eastAsia="Calibri" w:hAnsi="Calibri"/>
          <w:b/>
          <w:bCs/>
          <w:i w:val="false"/>
          <w:iCs w:val="false"/>
          <w:sz w:val="22"/>
          <w:szCs w:val="22"/>
        </w:rPr>
        <w:t xml:space="preserve">$1,368,772.00</w:t>
      </w:r>
      <w:r>
        <w:rPr>
          <w:rFonts w:ascii="Calibri" w:cs="Calibri" w:eastAsia="Calibri" w:hAnsi="Calibri"/>
          <w:b w:val="false"/>
          <w:bCs w:val="false"/>
          <w:i w:val="false"/>
          <w:iCs w:val="false"/>
          <w:sz w:val="22"/>
          <w:szCs w:val="22"/>
        </w:rPr>
        <w:t xml:space="preserve">).</w:t>
      </w:r>
    </w:p>
    <w:p>
      <w:pPr>
        <w:pStyle w:val="Heading4"/>
        <w:spacing w:after="160" w:before="300"/>
      </w:pPr>
      <w:r>
        <w:rPr>
          <w:b/>
          <w:bCs/>
        </w:rPr>
        <w:t xml:space="preserve">Justificación Matemática y Estocástica de la Discrepancia:</w:t>
      </w:r>
    </w:p>
    <w:p>
      <w:pPr>
        <w:spacing w:after="180" w:line="276"/>
        <w:jc w:val="both"/>
      </w:pPr>
      <w:r>
        <w:rPr>
          <w:rFonts w:ascii="Calibri" w:cs="Calibri" w:eastAsia="Calibri" w:hAnsi="Calibri"/>
          <w:b w:val="false"/>
          <w:bCs w:val="false"/>
          <w:i w:val="false"/>
          <w:iCs w:val="false"/>
          <w:sz w:val="22"/>
          <w:szCs w:val="22"/>
        </w:rPr>
        <w:t xml:space="preserve">Esta variación no constituye un error de cálculo, sino que responde a la naturaleza de la discretización de las variables aleatorias:</w:t>
      </w:r>
    </w:p>
    <w:p>
      <w:pPr>
        <w:pStyle w:val="ListParagraph"/>
        <w:numPr>
          <w:ilvl w:val="0"/>
          <w:numId w:val="3"/>
        </w:numPr>
        <w:spacing w:after="180" w:line="276"/>
        <w:jc w:val="both"/>
      </w:pPr>
      <w:r>
        <w:rPr>
          <w:rFonts w:ascii="Calibri" w:cs="Calibri" w:eastAsia="Calibri" w:hAnsi="Calibri"/>
          <w:b/>
          <w:bCs/>
          <w:i w:val="false"/>
          <w:iCs w:val="false"/>
          <w:sz w:val="22"/>
          <w:szCs w:val="22"/>
        </w:rPr>
        <w:t xml:space="preserve">Efecto de la Dispersión y Variabilidad Continua: </w:t>
      </w:r>
      <w:r>
        <w:rPr>
          <w:rFonts w:ascii="Calibri" w:cs="Calibri" w:eastAsia="Calibri" w:hAnsi="Calibri"/>
          <w:b w:val="false"/>
          <w:bCs w:val="false"/>
          <w:i w:val="false"/>
          <w:iCs w:val="false"/>
          <w:sz w:val="22"/>
          <w:szCs w:val="22"/>
        </w:rPr>
        <w:t xml:space="preserve">El modelo continuo de Coss Bu evalúa las toneladas de producción diaria (</w:t>
      </w:r>
      <w:r>
        <w:rPr>
          <w:rFonts w:ascii="Calibri" w:cs="Calibri" w:eastAsia="Calibri" w:hAnsi="Calibri"/>
          <w:b w:val="false"/>
          <w:bCs w:val="false"/>
          <w:i w:val="false"/>
          <w:iCs w:val="false"/>
          <w:sz w:val="22"/>
          <w:szCs w:val="22"/>
        </w:rPr>
        <w:t xml:space="preserve">P</w:t>
      </w:r>
      <w:r>
        <w:rPr>
          <w:rFonts w:ascii="Calibri" w:cs="Calibri" w:eastAsia="Calibri" w:hAnsi="Calibri"/>
          <w:b w:val="false"/>
          <w:bCs w:val="false"/>
          <w:i w:val="false"/>
          <w:iCs w:val="false"/>
          <w:sz w:val="22"/>
          <w:szCs w:val="22"/>
          <w:vertAlign w:val="subscript"/>
        </w:rPr>
        <w:t xml:space="preserve">t</w:t>
      </w:r>
      <w:r>
        <w:rPr>
          <w:rFonts w:ascii="Calibri" w:cs="Calibri" w:eastAsia="Calibri" w:hAnsi="Calibri"/>
          <w:b w:val="false"/>
          <w:bCs w:val="false"/>
          <w:i w:val="false"/>
          <w:iCs w:val="false"/>
          <w:sz w:val="22"/>
          <w:szCs w:val="22"/>
        </w:rPr>
        <w:t xml:space="preserve">) y la capacidad de carga por viaje (</w:t>
      </w:r>
      <w:r>
        <w:rPr>
          <w:rFonts w:ascii="Calibri" w:cs="Calibri" w:eastAsia="Calibri" w:hAnsi="Calibri"/>
          <w:b w:val="false"/>
          <w:bCs w:val="false"/>
          <w:i w:val="false"/>
          <w:iCs w:val="false"/>
          <w:sz w:val="22"/>
          <w:szCs w:val="22"/>
        </w:rPr>
        <w:t xml:space="preserve">C</w:t>
      </w:r>
      <w:r>
        <w:rPr>
          <w:rFonts w:ascii="Calibri" w:cs="Calibri" w:eastAsia="Calibri" w:hAnsi="Calibri"/>
          <w:b w:val="false"/>
          <w:bCs w:val="false"/>
          <w:i w:val="false"/>
          <w:iCs w:val="false"/>
          <w:sz w:val="22"/>
          <w:szCs w:val="22"/>
          <w:vertAlign w:val="subscript"/>
        </w:rPr>
        <w:t xml:space="preserve">i,t</w:t>
      </w:r>
      <w:r>
        <w:rPr>
          <w:rFonts w:ascii="Calibri" w:cs="Calibri" w:eastAsia="Calibri" w:hAnsi="Calibri"/>
          <w:b w:val="false"/>
          <w:bCs w:val="false"/>
          <w:i w:val="false"/>
          <w:iCs w:val="false"/>
          <w:sz w:val="22"/>
          <w:szCs w:val="22"/>
        </w:rPr>
        <w:t xml:space="preserve">) de forma infinitamente variable dentro de sus rangos. Esta variabilidad continua incrementa la probabilidad de eventos extremos en las “colas” de la distribución (por ejemplo, días con producción máxima de 85 toneladas coincidiendo con camiones rindiendo a su capacidad mínima de 4.0 toneladas). Estos escenarios críticos disparan el uso de fletes externos a un costo penalizador de $100/t, lo que obliga al modelo analítico a adquirir un </w:t>
      </w:r>
      <w:r>
        <w:rPr>
          <w:rFonts w:ascii="Calibri" w:cs="Calibri" w:eastAsia="Calibri" w:hAnsi="Calibri"/>
          <w:b/>
          <w:bCs/>
          <w:i w:val="false"/>
          <w:iCs w:val="false"/>
          <w:sz w:val="22"/>
          <w:szCs w:val="22"/>
        </w:rPr>
        <w:t xml:space="preserve">camión adicional (el N° 12)</w:t>
      </w:r>
      <w:r>
        <w:rPr>
          <w:rFonts w:ascii="Calibri" w:cs="Calibri" w:eastAsia="Calibri" w:hAnsi="Calibri"/>
          <w:b w:val="false"/>
          <w:bCs w:val="false"/>
          <w:i w:val="false"/>
          <w:iCs w:val="false"/>
          <w:sz w:val="22"/>
          <w:szCs w:val="22"/>
        </w:rPr>
        <w:t xml:space="preserve"> para amortiguar el riesgo estocástico.</w:t>
      </w:r>
    </w:p>
    <w:p>
      <w:pPr>
        <w:pStyle w:val="ListParagraph"/>
        <w:numPr>
          <w:ilvl w:val="0"/>
          <w:numId w:val="3"/>
        </w:numPr>
        <w:spacing w:after="180" w:line="276"/>
        <w:jc w:val="both"/>
      </w:pPr>
      <w:r>
        <w:rPr>
          <w:rFonts w:ascii="Calibri" w:cs="Calibri" w:eastAsia="Calibri" w:hAnsi="Calibri"/>
          <w:b/>
          <w:bCs/>
          <w:i w:val="false"/>
          <w:iCs w:val="false"/>
          <w:sz w:val="22"/>
          <w:szCs w:val="22"/>
        </w:rPr>
        <w:t xml:space="preserve">Reducción de Varianza por Puntos Medios (Discretización): </w:t>
      </w:r>
      <w:r>
        <w:rPr>
          <w:rFonts w:ascii="Calibri" w:cs="Calibri" w:eastAsia="Calibri" w:hAnsi="Calibri"/>
          <w:b w:val="false"/>
          <w:bCs w:val="false"/>
          <w:i w:val="false"/>
          <w:iCs w:val="false"/>
          <w:sz w:val="22"/>
          <w:szCs w:val="22"/>
        </w:rPr>
        <w:t xml:space="preserve">La simulación empírica discreta implementada en nuestro software utiliza las marcas de clase (puntos medios) de cada intervalo (fijando la producción en 52.5, 57.5, etc., y las capacidades en 4.25, 4.75, etc.). Al agrupar los datos en valores puntuales, se trunca la dispersión real y se reduce artificialmente la varianza del sistema. Al haber menos “picos” extremos de producción insatisfecha, el modelo simulado determina que la capacidad de </w:t>
      </w:r>
      <w:r>
        <w:rPr>
          <w:rFonts w:ascii="Calibri" w:cs="Calibri" w:eastAsia="Calibri" w:hAnsi="Calibri"/>
          <w:b/>
          <w:bCs/>
          <w:i w:val="false"/>
          <w:iCs w:val="false"/>
          <w:sz w:val="22"/>
          <w:szCs w:val="22"/>
        </w:rPr>
        <w:t xml:space="preserve">11 camiones</w:t>
      </w:r>
      <w:r>
        <w:rPr>
          <w:rFonts w:ascii="Calibri" w:cs="Calibri" w:eastAsia="Calibri" w:hAnsi="Calibri"/>
          <w:b w:val="false"/>
          <w:bCs w:val="false"/>
          <w:i w:val="false"/>
          <w:iCs w:val="false"/>
          <w:sz w:val="22"/>
          <w:szCs w:val="22"/>
        </w:rPr>
        <w:t xml:space="preserve"> es estadísticamente suficiente para cubrir la operación diaria, evitando el costo fijo anual de $100,000 que representaría la amortización del camión N° 12.</w:t>
      </w:r>
    </w:p>
    <w:p>
      <w:pPr>
        <w:pStyle w:val="Heading4"/>
        <w:spacing w:after="160" w:before="300"/>
      </w:pPr>
      <w:r>
        <w:rPr>
          <w:b/>
          <w:bCs/>
        </w:rPr>
        <w:t xml:space="preserve">Cuadro Comparativo de Convergencia de Costos:</w:t>
      </w:r>
    </w:p>
    <w:tbl>
      <w:tblPr>
        <w:tblW w:type="dxa" w:w="10700"/>
        <w:tblBorders>
          <w:top w:val="single" w:color="808080" w:sz="4"/>
          <w:left w:val="single" w:color="808080" w:sz="4"/>
          <w:bottom w:val="single" w:color="808080" w:sz="4"/>
          <w:right w:val="single" w:color="808080" w:sz="4"/>
          <w:insideH w:val="single" w:color="BFBFBF" w:sz="4"/>
          <w:insideV w:val="single" w:color="BFBFBF" w:sz="4"/>
        </w:tblBorders>
      </w:tblPr>
      <w:tblGrid>
        <w:gridCol w:w="2600"/>
        <w:gridCol w:w="2900"/>
        <w:gridCol w:w="2900"/>
        <w:gridCol w:w="2300"/>
      </w:tblGrid>
      <w:tr>
        <w:trPr>
          <w:tblHeader/>
        </w:trPr>
        <w:tc>
          <w:tcPr>
            <w:tcW w:type="dxa" w:w="2600"/>
            <w:shd w:fill="D9D9D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Tamaño de Flota (N)</w:t>
            </w:r>
          </w:p>
        </w:tc>
        <w:tc>
          <w:tcPr>
            <w:tcW w:type="dxa" w:w="2900"/>
            <w:shd w:fill="D9D9D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Costo Total - Modelo Continuo ($)</w:t>
            </w:r>
          </w:p>
        </w:tc>
        <w:tc>
          <w:tcPr>
            <w:tcW w:type="dxa" w:w="2900"/>
            <w:shd w:fill="D9D9D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Costo Total - Modelo Simulado ($)</w:t>
            </w:r>
          </w:p>
        </w:tc>
        <w:tc>
          <w:tcPr>
            <w:tcW w:type="dxa" w:w="2300"/>
            <w:shd w:fill="D9D9D9"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Desviación Relativa (%)</w:t>
            </w:r>
          </w:p>
        </w:tc>
      </w:tr>
      <w:tr>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10 Camiones</w:t>
            </w:r>
          </w:p>
        </w:tc>
        <w:tc>
          <w:tcPr>
            <w:tcW w:type="dxa" w:w="29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1,403,236.77</w:t>
            </w:r>
          </w:p>
        </w:tc>
        <w:tc>
          <w:tcPr>
            <w:tcW w:type="dxa" w:w="29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1,404,778.00</w:t>
            </w:r>
          </w:p>
        </w:tc>
        <w:tc>
          <w:tcPr>
            <w:tcW w:type="dxa" w:w="23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+0.11%</w:t>
            </w:r>
          </w:p>
        </w:tc>
      </w:tr>
      <w:tr>
        <w:tc>
          <w:tcPr>
            <w:tcW w:type="dxa" w:w="2600"/>
            <w:shd w:fill="FFF2CC"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11 Camiones</w:t>
            </w:r>
          </w:p>
        </w:tc>
        <w:tc>
          <w:tcPr>
            <w:tcW w:type="dxa" w:w="2900"/>
            <w:shd w:fill="FFF2CC"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1,383,461.97</w:t>
            </w:r>
          </w:p>
        </w:tc>
        <w:tc>
          <w:tcPr>
            <w:tcW w:type="dxa" w:w="2900"/>
            <w:shd w:fill="FFF2CC"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1,368,772.00 (Mínimo)</w:t>
            </w:r>
          </w:p>
        </w:tc>
        <w:tc>
          <w:tcPr>
            <w:tcW w:type="dxa" w:w="2300"/>
            <w:shd w:fill="FFF2CC"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-1.06%</w:t>
            </w:r>
          </w:p>
        </w:tc>
      </w:tr>
      <w:tr>
        <w:tc>
          <w:tcPr>
            <w:tcW w:type="dxa" w:w="2600"/>
            <w:shd w:fill="FFF2CC"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12 Camiones</w:t>
            </w:r>
          </w:p>
        </w:tc>
        <w:tc>
          <w:tcPr>
            <w:tcW w:type="dxa" w:w="2900"/>
            <w:shd w:fill="FFF2CC"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1,379,259.50 (Mínimo)</w:t>
            </w:r>
          </w:p>
        </w:tc>
        <w:tc>
          <w:tcPr>
            <w:tcW w:type="dxa" w:w="2900"/>
            <w:shd w:fill="FFF2CC"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1,394,157.00</w:t>
            </w:r>
          </w:p>
        </w:tc>
        <w:tc>
          <w:tcPr>
            <w:tcW w:type="dxa" w:w="2300"/>
            <w:shd w:fill="FFF2CC" w:val="clear"/>
            <w:tcMar>
              <w:top w:type="dxa" w:w="80"/>
              <w:left w:type="dxa" w:w="100"/>
              <w:bottom w:type="dxa" w:w="80"/>
              <w:right w:type="dxa" w:w="100"/>
            </w:tcMar>
            <w:vAlign w:val="center"/>
          </w:tcPr>
          <w:p>
            <w:pPr>
              <w:jc w:val="center"/>
            </w:pPr>
            <w:r>
              <w:rPr>
                <w:rFonts w:ascii="Calibri" w:cs="Calibri" w:eastAsia="Calibri" w:hAnsi="Calibri"/>
                <w:b/>
                <w:bCs/>
                <w:sz w:val="20"/>
                <w:szCs w:val="20"/>
              </w:rPr>
              <w:t xml:space="preserve">+1.08%</w:t>
            </w:r>
          </w:p>
        </w:tc>
      </w:tr>
      <w:tr>
        <w:tc>
          <w:tcPr>
            <w:tcW w:type="dxa" w:w="26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13 Camiones</w:t>
            </w:r>
          </w:p>
        </w:tc>
        <w:tc>
          <w:tcPr>
            <w:tcW w:type="dxa" w:w="29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1,392,174.71</w:t>
            </w:r>
          </w:p>
        </w:tc>
        <w:tc>
          <w:tcPr>
            <w:tcW w:type="dxa" w:w="29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1,412,600.00</w:t>
            </w:r>
          </w:p>
        </w:tc>
        <w:tc>
          <w:tcPr>
            <w:tcW w:type="dxa" w:w="23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+1.46%</w:t>
            </w:r>
          </w:p>
        </w:tc>
      </w:tr>
    </w:tbl>
    <w:p>
      <w:pPr>
        <w:spacing w:before="200"/>
      </w:pPr>
    </w:p>
    <w:p>
      <w:pPr>
        <w:spacing w:after="180" w:line="276"/>
        <w:jc w:val="both"/>
      </w:pPr>
      <w:r>
        <w:rPr>
          <w:rFonts w:ascii="Calibri" w:cs="Calibri" w:eastAsia="Calibri" w:hAnsi="Calibri"/>
          <w:b w:val="false"/>
          <w:bCs w:val="false"/>
          <w:i w:val="false"/>
          <w:iCs w:val="false"/>
          <w:sz w:val="22"/>
          <w:szCs w:val="22"/>
        </w:rPr>
        <w:t xml:space="preserve">La desviación relativa entre ambos enfoques para las opciones de 11 y 12 camiones es </w:t>
      </w:r>
      <w:r>
        <w:rPr>
          <w:rFonts w:ascii="Calibri" w:cs="Calibri" w:eastAsia="Calibri" w:hAnsi="Calibri"/>
          <w:b/>
          <w:bCs/>
          <w:i w:val="false"/>
          <w:iCs w:val="false"/>
          <w:sz w:val="22"/>
          <w:szCs w:val="22"/>
        </w:rPr>
        <w:t xml:space="preserve">inferior al 1.1%</w:t>
      </w:r>
      <w:r>
        <w:rPr>
          <w:rFonts w:ascii="Calibri" w:cs="Calibri" w:eastAsia="Calibri" w:hAnsi="Calibri"/>
          <w:b w:val="false"/>
          <w:bCs w:val="false"/>
          <w:i w:val="false"/>
          <w:iCs w:val="false"/>
          <w:sz w:val="22"/>
          <w:szCs w:val="22"/>
        </w:rPr>
        <w:t xml:space="preserve">, lo que valida cruzadamente la precisión de la lógica programada en Java y Excel, demostrando que ambos métodos convergen con una exactitud de ingeniería excelente.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2026-09-06T20:07:47.148Z</dcterms:created>
  <dcterms:modified xsi:type="dcterms:W3CDTF">2026-09-06T20:07:47.159Z</dcterms:modified>
</cp:coreProperties>
</file>

<file path=docProps/custom.xml><?xml version="1.0" encoding="utf-8"?>
<Properties xmlns="http://schemas.openxmlformats.org/officeDocument/2006/custom-properties" xmlns:vt="http://schemas.openxmlformats.org/officeDocument/2006/docPropsVTypes"/>
</file>