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 Sesha Venkata Sriram Erramilli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ECode: FT805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 Start: Oct 1, 2023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 End: Oct 2, 2023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Design an efficient Data engineering solution (Data Warehouse) for analyzing the retail sales data of Amazon.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Dataset link: </w:t>
      </w:r>
    </w:p>
    <w:p w:rsidR="00000000" w:rsidDel="00000000" w:rsidP="00000000" w:rsidRDefault="00000000" w:rsidRPr="00000000" w14:paraId="00000009">
      <w:pPr>
        <w:rPr/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https://docs.google.com/spreadsheets/d/1Dg2jK3mrA8JYw417DS_CZ6jkeWMGfBlx/edit#gid=1579268976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63900"/>
            <wp:effectExtent b="0" l="0" r="0" t="0"/>
            <wp:docPr id="19566951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 Data model:</w:t>
      </w:r>
    </w:p>
    <w:p w:rsidR="00000000" w:rsidDel="00000000" w:rsidP="00000000" w:rsidRDefault="00000000" w:rsidRPr="00000000" w14:paraId="00000015">
      <w:pPr>
        <w:spacing w:after="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47900"/>
            <wp:effectExtent b="0" l="0" r="0" t="0"/>
            <wp:docPr id="19566951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Steps: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Azure resource group: esv_retail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861945"/>
            <wp:effectExtent b="0" l="0" r="0" t="0"/>
            <wp:docPr descr="A screenshot of a computer&#10;&#10;Description automatically generated" id="1956695141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Synapse authorization: SQL Authentication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Upload the raw “Amazon Retail Sales” excel file into the “raw” directory inside the Datalake storage.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1979295"/>
            <wp:effectExtent b="0" l="0" r="0" t="0"/>
            <wp:docPr descr="A screenshot of a computer&#10;&#10;Description automatically generated" id="1956695143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inside Data factory, design data flows that creates staging files from the given excel file. I.e.,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orders.csv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returns.csv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customer.csv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product.csv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All these files have to be stored in a different container “transformed” inside the same Data lake storage.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3054350"/>
            <wp:effectExtent b="0" l="0" r="0" t="0"/>
            <wp:docPr descr="A screenshot of a computer&#10;&#10;Description automatically generated" id="1956695142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2698115"/>
            <wp:effectExtent b="0" l="0" r="0" t="0"/>
            <wp:docPr descr="A screenshot of a computer&#10;&#10;Description automatically generated" id="1956695145" name="image1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1510" cy="2260600"/>
            <wp:effectExtent b="0" l="0" r="0" t="0"/>
            <wp:docPr descr="A screenshot of a computer&#10;&#10;Description automatically generated" id="1956695144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Provisioned Dedicated SQL pool inside the Synapse workspace. This can be used to create a data warehouse.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382628" cy="2807484"/>
            <wp:effectExtent b="0" l="0" r="0" t="0"/>
            <wp:docPr descr="A screenshot of a computer&#10;&#10;Description automatically generated" id="1956695147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628" cy="2807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Launch Synapse workspace. Inside the “Data” tab, we find the transformed container inside the Datalake storage which contains all the stage data.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2268220"/>
            <wp:effectExtent b="0" l="0" r="0" t="0"/>
            <wp:docPr descr="A computer screen shot of a computer&#10;&#10;Description automatically generated" id="1956695146" name="image8.png"/>
            <a:graphic>
              <a:graphicData uri="http://schemas.openxmlformats.org/drawingml/2006/picture">
                <pic:pic>
                  <pic:nvPicPr>
                    <pic:cNvPr descr="A computer screen shot of a computer&#10;&#10;Description automatically generated"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under the Workspace tab, we find the SQL database inside Dedicated SQL pool.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278855" cy="5585966"/>
            <wp:effectExtent b="0" l="0" r="0" t="0"/>
            <wp:docPr descr="A screenshot of a computer&#10;&#10;Description automatically generated" id="1956695149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855" cy="558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Staging tables as external tables for all the csv files inside “esv_sql” database.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25180" cy="1567254"/>
            <wp:effectExtent b="0" l="0" r="0" t="0"/>
            <wp:docPr descr="A screenshot of a computer&#10;&#10;Description automatically generated" id="1956695148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180" cy="1567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Fact and Dimension tables inside the “esv_sql” database.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10585" cy="3353268"/>
            <wp:effectExtent b="0" l="0" r="0" t="0"/>
            <wp:docPr descr="A screenshot of a computer&#10;&#10;Description automatically generated" id="1956695150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35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our final Data warehouse. Now connec</w:t>
      </w:r>
      <w:r w:rsidDel="00000000" w:rsidR="00000000" w:rsidRPr="00000000">
        <w:rPr>
          <w:rtl w:val="0"/>
        </w:rPr>
        <w:t xml:space="preserve">t this Data warehouse to PowerBI desktop.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Analysis using Power BI: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Performed Customer Lifetime value analysis: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38500"/>
            <wp:effectExtent b="0" l="0" r="0" t="0"/>
            <wp:docPr id="19566951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38500"/>
            <wp:effectExtent b="0" l="0" r="0" t="0"/>
            <wp:docPr id="19566951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19566951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B72F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B72FCD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172DF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4.png"/><Relationship Id="rId22" Type="http://schemas.openxmlformats.org/officeDocument/2006/relationships/image" Target="media/image2.png"/><Relationship Id="rId10" Type="http://schemas.openxmlformats.org/officeDocument/2006/relationships/image" Target="media/image10.png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hyperlink" Target="https://docs.google.com/spreadsheets/d/1Dg2jK3mrA8JYw417DS_CZ6jkeWMGfBlx/edit#gid=1579268976" TargetMode="External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2AGnmYBmEvoknDYrckj8s1q9UQ==">CgMxLjA4AHIhMUMzbmRaMFc5bmQyaHdSY1htT3l3aTdDU210bzhfVFY4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2023-10-02T07:27:00Z</dcterms:created>
  <dc:creator>Sriram E.S.V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0dc05798-25db-4701-915b-7ad7e4d9576c</vt:lpwstr>
  </property>
</Properties>
</file>