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53BCD" w14:textId="321DAB44" w:rsidR="0096010A" w:rsidRDefault="0096010A" w:rsidP="0096010A"/>
    <w:tbl>
      <w:tblPr>
        <w:tblStyle w:val="PlainTable1"/>
        <w:tblW w:w="10060" w:type="dxa"/>
        <w:tblLook w:val="0420" w:firstRow="1" w:lastRow="0" w:firstColumn="0" w:lastColumn="0" w:noHBand="0" w:noVBand="1"/>
      </w:tblPr>
      <w:tblGrid>
        <w:gridCol w:w="347"/>
        <w:gridCol w:w="1057"/>
        <w:gridCol w:w="1057"/>
        <w:gridCol w:w="1130"/>
        <w:gridCol w:w="1272"/>
        <w:gridCol w:w="1369"/>
        <w:gridCol w:w="1624"/>
        <w:gridCol w:w="2204"/>
      </w:tblGrid>
      <w:tr w:rsidR="0096010A" w:rsidRPr="0096010A" w14:paraId="758D06BD" w14:textId="77777777" w:rsidTr="00960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7" w:type="dxa"/>
          </w:tcPr>
          <w:p w14:paraId="7A640A27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#</w:t>
            </w:r>
          </w:p>
        </w:tc>
        <w:tc>
          <w:tcPr>
            <w:tcW w:w="1057" w:type="dxa"/>
          </w:tcPr>
          <w:p w14:paraId="6AE67379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LOT Reference</w:t>
            </w:r>
          </w:p>
        </w:tc>
        <w:tc>
          <w:tcPr>
            <w:tcW w:w="1057" w:type="dxa"/>
          </w:tcPr>
          <w:p w14:paraId="25E8EC29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Section Reference</w:t>
            </w:r>
          </w:p>
        </w:tc>
        <w:tc>
          <w:tcPr>
            <w:tcW w:w="1130" w:type="dxa"/>
          </w:tcPr>
          <w:p w14:paraId="73B89677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Use Case Ref (if applicable)</w:t>
            </w:r>
          </w:p>
        </w:tc>
        <w:tc>
          <w:tcPr>
            <w:tcW w:w="1272" w:type="dxa"/>
          </w:tcPr>
          <w:p w14:paraId="0B714E91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Question Type</w:t>
            </w:r>
          </w:p>
        </w:tc>
        <w:tc>
          <w:tcPr>
            <w:tcW w:w="1369" w:type="dxa"/>
          </w:tcPr>
          <w:p w14:paraId="14DFC38E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Requirement Text Referenced (verbatim)</w:t>
            </w:r>
          </w:p>
        </w:tc>
        <w:tc>
          <w:tcPr>
            <w:tcW w:w="1624" w:type="dxa"/>
          </w:tcPr>
          <w:p w14:paraId="675DDEDF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Question</w:t>
            </w:r>
          </w:p>
        </w:tc>
        <w:tc>
          <w:tcPr>
            <w:tcW w:w="2204" w:type="dxa"/>
          </w:tcPr>
          <w:p w14:paraId="173C0B5F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Proposed Interpretation (optional)</w:t>
            </w:r>
          </w:p>
        </w:tc>
      </w:tr>
      <w:tr w:rsidR="0096010A" w:rsidRPr="0096010A" w14:paraId="5C7CA3A7" w14:textId="77777777" w:rsidTr="00960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7" w:type="dxa"/>
          </w:tcPr>
          <w:p w14:paraId="3E486896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057" w:type="dxa"/>
          </w:tcPr>
          <w:p w14:paraId="7AE119EE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e.g. LOT B4</w:t>
            </w:r>
          </w:p>
        </w:tc>
        <w:tc>
          <w:tcPr>
            <w:tcW w:w="1057" w:type="dxa"/>
          </w:tcPr>
          <w:p w14:paraId="28ACBEB1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e.g. Section 7.9.2</w:t>
            </w:r>
          </w:p>
        </w:tc>
        <w:tc>
          <w:tcPr>
            <w:tcW w:w="1130" w:type="dxa"/>
          </w:tcPr>
          <w:p w14:paraId="061C5044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e.g. LHC-3</w:t>
            </w:r>
          </w:p>
        </w:tc>
        <w:tc>
          <w:tcPr>
            <w:tcW w:w="1272" w:type="dxa"/>
          </w:tcPr>
          <w:p w14:paraId="073FEA84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e.g. Technical / Architectural</w:t>
            </w:r>
          </w:p>
        </w:tc>
        <w:tc>
          <w:tcPr>
            <w:tcW w:w="1369" w:type="dxa"/>
          </w:tcPr>
          <w:p w14:paraId="3A148B11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“The platform vendor accepts the technical integration requirements defined in Section 7.9.2…”</w:t>
            </w:r>
          </w:p>
        </w:tc>
        <w:tc>
          <w:tcPr>
            <w:tcW w:w="1624" w:type="dxa"/>
          </w:tcPr>
          <w:p w14:paraId="4127DF19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Please confirm whether the LLM Gateway compliance requirement in Section 7.9.2 permits a bridging integration as an alternative to direct gateway routing in all cases, or only where a technical exemption has been granted.</w:t>
            </w:r>
          </w:p>
        </w:tc>
        <w:tc>
          <w:tcPr>
            <w:tcW w:w="2204" w:type="dxa"/>
          </w:tcPr>
          <w:p w14:paraId="31A68658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We interpret “or demonstrate equivalent governance via a LOT A-approved bridging integration” as permitting a bridge in all cases where direct gateway routing is architecturally impractical, subject to LOT A Vendor approval.</w:t>
            </w:r>
          </w:p>
        </w:tc>
      </w:tr>
      <w:tr w:rsidR="0096010A" w:rsidRPr="0096010A" w14:paraId="0E5620DE" w14:textId="77777777" w:rsidTr="0096010A">
        <w:tc>
          <w:tcPr>
            <w:tcW w:w="347" w:type="dxa"/>
          </w:tcPr>
          <w:p w14:paraId="349F14A9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1057" w:type="dxa"/>
          </w:tcPr>
          <w:p w14:paraId="55E86CD0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057" w:type="dxa"/>
          </w:tcPr>
          <w:p w14:paraId="50A34419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130" w:type="dxa"/>
          </w:tcPr>
          <w:p w14:paraId="22785970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272" w:type="dxa"/>
          </w:tcPr>
          <w:p w14:paraId="7E0BD5CE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369" w:type="dxa"/>
          </w:tcPr>
          <w:p w14:paraId="271641EA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24" w:type="dxa"/>
          </w:tcPr>
          <w:p w14:paraId="1BEB6E13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204" w:type="dxa"/>
          </w:tcPr>
          <w:p w14:paraId="31EA8DFE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96010A" w:rsidRPr="0096010A" w14:paraId="6C497B50" w14:textId="77777777" w:rsidTr="00960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7" w:type="dxa"/>
          </w:tcPr>
          <w:p w14:paraId="1937A517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057" w:type="dxa"/>
          </w:tcPr>
          <w:p w14:paraId="06C51EED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057" w:type="dxa"/>
          </w:tcPr>
          <w:p w14:paraId="53402D15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130" w:type="dxa"/>
          </w:tcPr>
          <w:p w14:paraId="600E674D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272" w:type="dxa"/>
          </w:tcPr>
          <w:p w14:paraId="239DEBA9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369" w:type="dxa"/>
          </w:tcPr>
          <w:p w14:paraId="7C668171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24" w:type="dxa"/>
          </w:tcPr>
          <w:p w14:paraId="0380BE18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204" w:type="dxa"/>
          </w:tcPr>
          <w:p w14:paraId="7D0963E0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</w:tbl>
    <w:p w14:paraId="5A0C9E7A" w14:textId="77777777" w:rsidR="0096010A" w:rsidRPr="0096010A" w:rsidRDefault="0096010A" w:rsidP="0096010A">
      <w:pPr>
        <w:rPr>
          <w:rFonts w:ascii="Calibri" w:hAnsi="Calibri" w:cs="Calibri"/>
        </w:rPr>
      </w:pPr>
      <w:r w:rsidRPr="0096010A">
        <w:rPr>
          <w:rFonts w:ascii="Calibri" w:hAnsi="Calibri" w:cs="Calibri"/>
          <w:b/>
          <w:bCs/>
        </w:rPr>
        <w:t xml:space="preserve">Question Type options: </w:t>
      </w:r>
      <w:r w:rsidRPr="0096010A">
        <w:rPr>
          <w:rFonts w:ascii="Calibri" w:hAnsi="Calibri" w:cs="Calibri"/>
        </w:rPr>
        <w:t>Technical / Architectural | Commercial / Pricing | Legal / Contractual | Compliance / Regulatory | Process / Procedural</w:t>
      </w:r>
    </w:p>
    <w:p w14:paraId="3128963F" w14:textId="77777777" w:rsidR="0096010A" w:rsidRPr="0096010A" w:rsidRDefault="0096010A" w:rsidP="0096010A">
      <w:pPr>
        <w:rPr>
          <w:rFonts w:ascii="Calibri" w:hAnsi="Calibri" w:cs="Calibri"/>
        </w:rPr>
      </w:pPr>
      <w:r w:rsidRPr="0096010A">
        <w:rPr>
          <w:rFonts w:ascii="Calibri" w:hAnsi="Calibri" w:cs="Calibri"/>
          <w:b/>
          <w:bCs/>
        </w:rPr>
        <w:t xml:space="preserve">LOT Reference options: </w:t>
      </w:r>
      <w:r w:rsidRPr="0096010A">
        <w:rPr>
          <w:rFonts w:ascii="Calibri" w:hAnsi="Calibri" w:cs="Calibri"/>
        </w:rPr>
        <w:t>LOT A | LOT B1 | LOT B2 | LOT B3 | LOT B4 | LOT B5 | LOT B6 | LOT B7 | General / All LOTs</w:t>
      </w:r>
    </w:p>
    <w:p w14:paraId="29A01905" w14:textId="77777777" w:rsidR="00DC07F5" w:rsidRDefault="00DC07F5"/>
    <w:sectPr w:rsidR="00DC07F5" w:rsidSect="0096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8E0"/>
    <w:rsid w:val="00170C9B"/>
    <w:rsid w:val="008A342A"/>
    <w:rsid w:val="0096010A"/>
    <w:rsid w:val="00982C63"/>
    <w:rsid w:val="00C51EDA"/>
    <w:rsid w:val="00CA5D0C"/>
    <w:rsid w:val="00CB095A"/>
    <w:rsid w:val="00DC07F5"/>
    <w:rsid w:val="00DD3F54"/>
    <w:rsid w:val="00EB78E0"/>
    <w:rsid w:val="00F253EE"/>
    <w:rsid w:val="7674B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7A669B-9F3D-491C-B81C-2D9187C1C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10A"/>
    <w:pPr>
      <w:spacing w:after="200" w:line="276" w:lineRule="auto"/>
      <w:jc w:val="both"/>
    </w:pPr>
    <w:rPr>
      <w:rFonts w:eastAsiaTheme="minorEastAsia"/>
      <w:kern w:val="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78E0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l-GR" w:bidi="he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8E0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l-GR" w:bidi="he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8E0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l-GR" w:bidi="he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8E0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l-GR" w:bidi="he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8E0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:lang w:val="el-GR" w:bidi="he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8E0"/>
    <w:pPr>
      <w:keepNext/>
      <w:keepLines/>
      <w:spacing w:before="40" w:after="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lang w:val="el-GR" w:bidi="he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8E0"/>
    <w:pPr>
      <w:keepNext/>
      <w:keepLines/>
      <w:spacing w:before="40" w:after="0" w:line="259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lang w:val="el-GR" w:bidi="he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8E0"/>
    <w:pPr>
      <w:keepNext/>
      <w:keepLines/>
      <w:spacing w:after="0" w:line="259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lang w:val="el-GR" w:bidi="he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8E0"/>
    <w:pPr>
      <w:keepNext/>
      <w:keepLines/>
      <w:spacing w:after="0" w:line="259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lang w:val="el-GR" w:bidi="he-IL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8E0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l-GR" w:bidi="he-IL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B7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8E0"/>
    <w:pPr>
      <w:numPr>
        <w:ilvl w:val="1"/>
      </w:numPr>
      <w:spacing w:after="160" w:line="259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l-GR" w:bidi="he-IL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B7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8E0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l-GR" w:bidi="he-IL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B7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8E0"/>
    <w:pPr>
      <w:spacing w:after="160" w:line="259" w:lineRule="auto"/>
      <w:ind w:left="720"/>
      <w:contextualSpacing/>
      <w:jc w:val="left"/>
    </w:pPr>
    <w:rPr>
      <w:rFonts w:eastAsiaTheme="minorHAnsi"/>
      <w:kern w:val="2"/>
      <w:lang w:val="el-GR" w:bidi="he-IL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B7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l-GR" w:bidi="he-IL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8E0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99"/>
    <w:rsid w:val="0096010A"/>
    <w:pPr>
      <w:spacing w:after="0" w:line="240" w:lineRule="auto"/>
    </w:pPr>
    <w:rPr>
      <w:rFonts w:eastAsiaTheme="minorEastAsia"/>
      <w:kern w:val="0"/>
      <w:lang w:val="en-US" w:bidi="ar-SA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8306611162EF458855C449DB97B5A0" ma:contentTypeVersion="3" ma:contentTypeDescription="Create a new document." ma:contentTypeScope="" ma:versionID="32fcbaa875daa3890e5f475495802000">
  <xsd:schema xmlns:xsd="http://www.w3.org/2001/XMLSchema" xmlns:xs="http://www.w3.org/2001/XMLSchema" xmlns:p="http://schemas.microsoft.com/office/2006/metadata/properties" xmlns:ns2="07a9d73a-8a71-49b6-a37f-aee17c66e71f" targetNamespace="http://schemas.microsoft.com/office/2006/metadata/properties" ma:root="true" ma:fieldsID="3b16ac38f19b1d20e10695558008fd8b" ns2:_="">
    <xsd:import namespace="07a9d73a-8a71-49b6-a37f-aee17c66e7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a9d73a-8a71-49b6-a37f-aee17c66e7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2E2694-D2D9-400C-9D79-3CF2D6AB57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D0B276-D80F-4621-BDAD-358049126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a9d73a-8a71-49b6-a37f-aee17c66e7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2805B0-E92A-483A-817C-6E5C4495888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 Dimopoulou (Procurement)</dc:creator>
  <cp:keywords/>
  <dc:description/>
  <cp:lastModifiedBy>Lev Iakovlev</cp:lastModifiedBy>
  <cp:revision>4</cp:revision>
  <dcterms:created xsi:type="dcterms:W3CDTF">2026-04-13T10:07:00Z</dcterms:created>
  <dcterms:modified xsi:type="dcterms:W3CDTF">2026-04-13T10:07:00Z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283399d-a65c-4b2e-a995-8ae73cef6c20_Enabled">
    <vt:lpwstr>true</vt:lpwstr>
  </property>
  <property fmtid="{D5CDD505-2E9C-101B-9397-08002B2CF9AE}" pid="3" name="MSIP_Label_5283399d-a65c-4b2e-a995-8ae73cef6c20_SetDate">
    <vt:lpwstr>2026-03-31T06:59:56Z</vt:lpwstr>
  </property>
  <property fmtid="{D5CDD505-2E9C-101B-9397-08002B2CF9AE}" pid="4" name="MSIP_Label_5283399d-a65c-4b2e-a995-8ae73cef6c20_Method">
    <vt:lpwstr>Privileged</vt:lpwstr>
  </property>
  <property fmtid="{D5CDD505-2E9C-101B-9397-08002B2CF9AE}" pid="5" name="MSIP_Label_5283399d-a65c-4b2e-a995-8ae73cef6c20_Name">
    <vt:lpwstr>Not Classified</vt:lpwstr>
  </property>
  <property fmtid="{D5CDD505-2E9C-101B-9397-08002B2CF9AE}" pid="6" name="MSIP_Label_5283399d-a65c-4b2e-a995-8ae73cef6c20_SiteId">
    <vt:lpwstr>fc2b3d77-8c3f-43c1-aa24-321a45beeb81</vt:lpwstr>
  </property>
  <property fmtid="{D5CDD505-2E9C-101B-9397-08002B2CF9AE}" pid="7" name="MSIP_Label_5283399d-a65c-4b2e-a995-8ae73cef6c20_ActionId">
    <vt:lpwstr>a0f10088-f7c9-42b8-80a5-e4ab43b7badc</vt:lpwstr>
  </property>
  <property fmtid="{D5CDD505-2E9C-101B-9397-08002B2CF9AE}" pid="8" name="MSIP_Label_5283399d-a65c-4b2e-a995-8ae73cef6c20_ContentBits">
    <vt:lpwstr>0</vt:lpwstr>
  </property>
  <property fmtid="{D5CDD505-2E9C-101B-9397-08002B2CF9AE}" pid="9" name="MSIP_Label_5283399d-a65c-4b2e-a995-8ae73cef6c20_Tag">
    <vt:lpwstr>10, 0, 1, 1</vt:lpwstr>
  </property>
  <property fmtid="{D5CDD505-2E9C-101B-9397-08002B2CF9AE}" pid="10" name="ContentTypeId">
    <vt:lpwstr>0x0101003D8306611162EF458855C449DB97B5A0</vt:lpwstr>
  </property>
  <property fmtid="{D5CDD505-2E9C-101B-9397-08002B2CF9AE}" pid="11" name="MSIP_Label_2a535040-0af2-483f-adc3-a132c21e3e2b_Enabled">
    <vt:lpwstr>true</vt:lpwstr>
  </property>
  <property fmtid="{D5CDD505-2E9C-101B-9397-08002B2CF9AE}" pid="12" name="MSIP_Label_2a535040-0af2-483f-adc3-a132c21e3e2b_SetDate">
    <vt:lpwstr>2026-04-13T10:07:10Z</vt:lpwstr>
  </property>
  <property fmtid="{D5CDD505-2E9C-101B-9397-08002B2CF9AE}" pid="13" name="MSIP_Label_2a535040-0af2-483f-adc3-a132c21e3e2b_Method">
    <vt:lpwstr>Standard</vt:lpwstr>
  </property>
  <property fmtid="{D5CDD505-2E9C-101B-9397-08002B2CF9AE}" pid="14" name="MSIP_Label_2a535040-0af2-483f-adc3-a132c21e3e2b_Name">
    <vt:lpwstr>EPAM_Confidential</vt:lpwstr>
  </property>
  <property fmtid="{D5CDD505-2E9C-101B-9397-08002B2CF9AE}" pid="15" name="MSIP_Label_2a535040-0af2-483f-adc3-a132c21e3e2b_SiteId">
    <vt:lpwstr>b41b72d0-4e9f-4c26-8a69-f949f367c91d</vt:lpwstr>
  </property>
  <property fmtid="{D5CDD505-2E9C-101B-9397-08002B2CF9AE}" pid="16" name="MSIP_Label_2a535040-0af2-483f-adc3-a132c21e3e2b_ActionId">
    <vt:lpwstr>be5571ad-b8c4-4c3b-963b-677c6e2bfb63</vt:lpwstr>
  </property>
  <property fmtid="{D5CDD505-2E9C-101B-9397-08002B2CF9AE}" pid="17" name="MSIP_Label_2a535040-0af2-483f-adc3-a132c21e3e2b_ContentBits">
    <vt:lpwstr>0</vt:lpwstr>
  </property>
  <property fmtid="{D5CDD505-2E9C-101B-9397-08002B2CF9AE}" pid="18" name="MSIP_Label_2a535040-0af2-483f-adc3-a132c21e3e2b_Tag">
    <vt:lpwstr>10, 3, 0, 2</vt:lpwstr>
  </property>
  <property fmtid="{D5CDD505-2E9C-101B-9397-08002B2CF9AE}" pid="20" name="docLang">
    <vt:lpwstr>en</vt:lpwstr>
  </property>
</Properties>
</file>