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itch"/>
    <w:p>
      <w:pPr>
        <w:pStyle w:val="Heading2"/>
      </w:pPr>
      <w:r>
        <w:t xml:space="preserve">Pitch</w:t>
      </w:r>
    </w:p>
    <w:p>
      <w:pPr>
        <w:pStyle w:val="FirstParagraph"/>
      </w:pPr>
      <w:r>
        <w:t xml:space="preserve">Our framework is not just “a skill that diffs git and writes docs.” It is a thoughtfully designed, standards-driven documentation automation platform with these core strengths: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Centralized authority</w:t>
      </w:r>
      <w:r>
        <w:t xml:space="preserve">: We built a registry/manifest architecture so consumers discover content types and validation rules from a single source of truth instead of hardcoded file paths.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Evidence-first release notes</w:t>
      </w:r>
      <w:r>
        <w:t xml:space="preserve">: The release-notes skill is grounded in normalized release evidence, not prompt-based fluff. It reconciles issues, PRs, commits, QA, and tags into a canonical</w:t>
      </w:r>
      <w:r>
        <w:t xml:space="preserve"> </w:t>
      </w:r>
      <w:r>
        <w:rPr>
          <w:rStyle w:val="VerbatimChar"/>
        </w:rPr>
        <w:t xml:space="preserve">release-evidence.yaml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Field-level precedence and trust</w:t>
      </w:r>
      <w:r>
        <w:t xml:space="preserve">: We define explicit source precedence via</w:t>
      </w:r>
      <w:r>
        <w:t xml:space="preserve"> </w:t>
      </w:r>
      <w:r>
        <w:rPr>
          <w:rStyle w:val="VerbatimChar"/>
        </w:rPr>
        <w:t xml:space="preserve">standards/source-precedence.yaml</w:t>
      </w:r>
      <w:r>
        <w:t xml:space="preserve">, so every field has a deterministic authority chain and provenance.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confidence scoring</w:t>
      </w:r>
      <w:r>
        <w:t xml:space="preserve">: Every evidence item is scored, so the system knows what can be auto-published and what must be manually reviewed.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Validation-before-rendering</w:t>
      </w:r>
      <w:r>
        <w:t xml:space="preserve">: We enforce schema rules, policy rules, and content checks before generating Markdown, preventing broken or risky output.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Reusable, composable content type model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release-notes</w:t>
      </w:r>
      <w:r>
        <w:t xml:space="preserve"> </w:t>
      </w:r>
      <w:r>
        <w:t xml:space="preserve">skill is one example of a broader pattern; the same manifest/schema/rules/skill structure can be reused for features pages, overviews, API docs, and more.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Consumer-safe adoption</w:t>
      </w:r>
      <w:r>
        <w:t xml:space="preserve">: A consumer repo can adopt the skill by fetching the manifest and entrypoints instead of copying standards — this makes upgrades safe and fast.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governance</w:t>
      </w:r>
      <w:r>
        <w:t xml:space="preserve">: We built path conventions and architecture docs so standards authors and consumers stay aligned and avoid brittle internal references.</w:t>
      </w:r>
    </w:p>
    <w:p>
      <w:pPr>
        <w:pStyle w:val="FirstParagraph"/>
      </w:pPr>
      <w:r>
        <w:t xml:space="preserve">This is a management-ready narrative: we delivered a real documentation automation framework that is more than a “quick demo.” It is a disciplined, scalable system for safe, validated release documentation.</w:t>
      </w:r>
    </w:p>
    <w:p>
      <w:r>
        <w:pict>
          <v:rect style="width:0;height:1.5pt" o:hralign="center" o:hrstd="t" o:hr="t"/>
        </w:pict>
      </w:r>
    </w:p>
    <w:bookmarkEnd w:id="9"/>
    <w:bookmarkStart w:id="20" w:name="slide-presentation-writeup"/>
    <w:p>
      <w:pPr>
        <w:pStyle w:val="Heading2"/>
      </w:pPr>
      <w:r>
        <w:t xml:space="preserve">10-Slide Presentation Writeup</w:t>
      </w:r>
    </w:p>
    <w:bookmarkStart w:id="10" w:name="slide-1-title"/>
    <w:p>
      <w:pPr>
        <w:pStyle w:val="Heading3"/>
      </w:pPr>
      <w:r>
        <w:t xml:space="preserve">Slide 1: Title</w:t>
      </w:r>
    </w:p>
    <w:p>
      <w:pPr>
        <w:pStyle w:val="Compact"/>
        <w:numPr>
          <w:ilvl w:val="0"/>
          <w:numId w:val="1002"/>
        </w:numPr>
      </w:pPr>
      <w:r>
        <w:t xml:space="preserve">Title: “Release Notes Automation Framework”</w:t>
      </w:r>
    </w:p>
    <w:p>
      <w:pPr>
        <w:pStyle w:val="Compact"/>
        <w:numPr>
          <w:ilvl w:val="0"/>
          <w:numId w:val="1002"/>
        </w:numPr>
      </w:pPr>
      <w:r>
        <w:t xml:space="preserve">Subtitle: “Standards-first documentation, built for reliable release publishing”</w:t>
      </w:r>
    </w:p>
    <w:p>
      <w:pPr>
        <w:pStyle w:val="Compact"/>
        <w:numPr>
          <w:ilvl w:val="0"/>
          <w:numId w:val="1002"/>
        </w:numPr>
      </w:pPr>
      <w:r>
        <w:t xml:space="preserve">Footnote:</w:t>
      </w:r>
      <w:r>
        <w:t xml:space="preserve"> </w:t>
      </w:r>
      <w:r>
        <w:rPr>
          <w:rStyle w:val="VerbatimChar"/>
        </w:rPr>
        <w:t xml:space="preserve">intuiract</w:t>
      </w:r>
      <w:r>
        <w:t xml:space="preserve"> </w:t>
      </w:r>
      <w:r>
        <w:t xml:space="preserve">proof-of-concept</w:t>
      </w:r>
    </w:p>
    <w:bookmarkEnd w:id="10"/>
    <w:bookmarkStart w:id="11" w:name="slide-2-problem-statement"/>
    <w:p>
      <w:pPr>
        <w:pStyle w:val="Heading3"/>
      </w:pPr>
      <w:r>
        <w:t xml:space="preserve">Slide 2: Problem Statement</w:t>
      </w:r>
    </w:p>
    <w:p>
      <w:pPr>
        <w:pStyle w:val="Compact"/>
        <w:numPr>
          <w:ilvl w:val="0"/>
          <w:numId w:val="1003"/>
        </w:numPr>
      </w:pPr>
      <w:r>
        <w:t xml:space="preserve">Release notes are often manual, inconsistent, and error-prone</w:t>
      </w:r>
    </w:p>
    <w:p>
      <w:pPr>
        <w:pStyle w:val="Compact"/>
        <w:numPr>
          <w:ilvl w:val="0"/>
          <w:numId w:val="1003"/>
        </w:numPr>
      </w:pPr>
      <w:r>
        <w:t xml:space="preserve">Teams lose time reconciling issues, PRs, commits, and QA evidence</w:t>
      </w:r>
    </w:p>
    <w:p>
      <w:pPr>
        <w:pStyle w:val="Compact"/>
        <w:numPr>
          <w:ilvl w:val="0"/>
          <w:numId w:val="1003"/>
        </w:numPr>
      </w:pPr>
      <w:r>
        <w:t xml:space="preserve">Output quality drops when docs are generated without validation</w:t>
      </w:r>
    </w:p>
    <w:p>
      <w:pPr>
        <w:pStyle w:val="Compact"/>
        <w:numPr>
          <w:ilvl w:val="0"/>
          <w:numId w:val="1003"/>
        </w:numPr>
      </w:pPr>
      <w:r>
        <w:t xml:space="preserve">We needed a governed automation path, not ad hoc markdown generation</w:t>
      </w:r>
    </w:p>
    <w:bookmarkEnd w:id="11"/>
    <w:bookmarkStart w:id="12" w:name="slide-3-our-solution"/>
    <w:p>
      <w:pPr>
        <w:pStyle w:val="Heading3"/>
      </w:pPr>
      <w:r>
        <w:t xml:space="preserve">Slide 3: Our Solution</w:t>
      </w:r>
    </w:p>
    <w:p>
      <w:pPr>
        <w:pStyle w:val="Compact"/>
        <w:numPr>
          <w:ilvl w:val="0"/>
          <w:numId w:val="1004"/>
        </w:numPr>
      </w:pPr>
      <w:r>
        <w:t xml:space="preserve">A standards-driven framework for release documentation</w:t>
      </w:r>
    </w:p>
    <w:p>
      <w:pPr>
        <w:pStyle w:val="Compact"/>
        <w:numPr>
          <w:ilvl w:val="0"/>
          <w:numId w:val="1004"/>
        </w:numPr>
      </w:pPr>
      <w:r>
        <w:t xml:space="preserve">Core capability:</w:t>
      </w:r>
      <w:r>
        <w:t xml:space="preserve"> </w:t>
      </w:r>
      <w:r>
        <w:rPr>
          <w:rStyle w:val="VerbatimChar"/>
        </w:rPr>
        <w:t xml:space="preserve">release-notes</w:t>
      </w:r>
      <w:r>
        <w:t xml:space="preserve"> </w:t>
      </w:r>
      <w:r>
        <w:t xml:space="preserve">skill that:</w:t>
      </w:r>
    </w:p>
    <w:p>
      <w:pPr>
        <w:pStyle w:val="Compact"/>
        <w:numPr>
          <w:ilvl w:val="1"/>
          <w:numId w:val="1005"/>
        </w:numPr>
      </w:pPr>
      <w:r>
        <w:t xml:space="preserve">extracts evidence</w:t>
      </w:r>
    </w:p>
    <w:p>
      <w:pPr>
        <w:pStyle w:val="Compact"/>
        <w:numPr>
          <w:ilvl w:val="1"/>
          <w:numId w:val="1005"/>
        </w:numPr>
      </w:pPr>
      <w:r>
        <w:t xml:space="preserve">reconciles multiple sources</w:t>
      </w:r>
    </w:p>
    <w:p>
      <w:pPr>
        <w:pStyle w:val="Compact"/>
        <w:numPr>
          <w:ilvl w:val="1"/>
          <w:numId w:val="1005"/>
        </w:numPr>
      </w:pPr>
      <w:r>
        <w:t xml:space="preserve">normalizes and scores items</w:t>
      </w:r>
    </w:p>
    <w:p>
      <w:pPr>
        <w:pStyle w:val="Compact"/>
        <w:numPr>
          <w:ilvl w:val="1"/>
          <w:numId w:val="1005"/>
        </w:numPr>
      </w:pPr>
      <w:r>
        <w:t xml:space="preserve">validates structured output</w:t>
      </w:r>
    </w:p>
    <w:p>
      <w:pPr>
        <w:pStyle w:val="Compact"/>
        <w:numPr>
          <w:ilvl w:val="1"/>
          <w:numId w:val="1005"/>
        </w:numPr>
      </w:pPr>
      <w:r>
        <w:t xml:space="preserve">renders publication-ready Markdown</w:t>
      </w:r>
    </w:p>
    <w:bookmarkEnd w:id="12"/>
    <w:bookmarkStart w:id="13" w:name="slide-4-what-makes-it-different"/>
    <w:p>
      <w:pPr>
        <w:pStyle w:val="Heading3"/>
      </w:pPr>
      <w:r>
        <w:t xml:space="preserve">Slide 4: What Makes It Different</w:t>
      </w:r>
    </w:p>
    <w:p>
      <w:pPr>
        <w:pStyle w:val="Compact"/>
        <w:numPr>
          <w:ilvl w:val="0"/>
          <w:numId w:val="1006"/>
        </w:numPr>
      </w:pPr>
      <w:r>
        <w:t xml:space="preserve">Not just “git diff → doc”</w:t>
      </w:r>
    </w:p>
    <w:p>
      <w:pPr>
        <w:pStyle w:val="Compact"/>
        <w:numPr>
          <w:ilvl w:val="0"/>
          <w:numId w:val="1006"/>
        </w:numPr>
      </w:pPr>
      <w:r>
        <w:t xml:space="preserve">Built on: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standards/content-types.yaml</w:t>
      </w:r>
    </w:p>
    <w:p>
      <w:pPr>
        <w:pStyle w:val="Compact"/>
        <w:numPr>
          <w:ilvl w:val="1"/>
          <w:numId w:val="1007"/>
        </w:numPr>
      </w:pPr>
      <w:r>
        <w:t xml:space="preserve">content type manifests</w:t>
      </w:r>
    </w:p>
    <w:p>
      <w:pPr>
        <w:pStyle w:val="Compact"/>
        <w:numPr>
          <w:ilvl w:val="1"/>
          <w:numId w:val="1007"/>
        </w:numPr>
      </w:pPr>
      <w:r>
        <w:t xml:space="preserve">canonical schema and rendering rules</w:t>
      </w:r>
    </w:p>
    <w:p>
      <w:pPr>
        <w:pStyle w:val="Compact"/>
        <w:numPr>
          <w:ilvl w:val="1"/>
          <w:numId w:val="1007"/>
        </w:numPr>
      </w:pPr>
      <w:r>
        <w:t xml:space="preserve">validation rules</w:t>
      </w:r>
    </w:p>
    <w:p>
      <w:pPr>
        <w:pStyle w:val="Compact"/>
        <w:numPr>
          <w:ilvl w:val="1"/>
          <w:numId w:val="1007"/>
        </w:numPr>
      </w:pPr>
      <w:r>
        <w:t xml:space="preserve">human-readable skill/process documentation</w:t>
      </w:r>
    </w:p>
    <w:p>
      <w:pPr>
        <w:pStyle w:val="Compact"/>
        <w:numPr>
          <w:ilvl w:val="0"/>
          <w:numId w:val="1006"/>
        </w:numPr>
      </w:pPr>
      <w:r>
        <w:t xml:space="preserve">Outcome: deterministic, auditable, reusable</w:t>
      </w:r>
    </w:p>
    <w:bookmarkEnd w:id="13"/>
    <w:bookmarkStart w:id="14" w:name="slide-5-key-architecture"/>
    <w:p>
      <w:pPr>
        <w:pStyle w:val="Heading3"/>
      </w:pPr>
      <w:r>
        <w:t xml:space="preserve">Slide 5: Key Architecture</w:t>
      </w:r>
    </w:p>
    <w:p>
      <w:pPr>
        <w:pStyle w:val="Compact"/>
        <w:numPr>
          <w:ilvl w:val="0"/>
          <w:numId w:val="1008"/>
        </w:numPr>
      </w:pPr>
      <w:r>
        <w:t xml:space="preserve">Registry-first discovery: central</w:t>
      </w:r>
      <w:r>
        <w:t xml:space="preserve"> </w:t>
      </w:r>
      <w:r>
        <w:rPr>
          <w:rStyle w:val="VerbatimChar"/>
        </w:rPr>
        <w:t xml:space="preserve">standards/content-types.yaml</w:t>
      </w:r>
    </w:p>
    <w:p>
      <w:pPr>
        <w:pStyle w:val="Compact"/>
        <w:numPr>
          <w:ilvl w:val="0"/>
          <w:numId w:val="1008"/>
        </w:numPr>
      </w:pPr>
      <w:r>
        <w:t xml:space="preserve">Manifest resolution:</w:t>
      </w:r>
      <w:r>
        <w:t xml:space="preserve"> </w:t>
      </w:r>
      <w:r>
        <w:rPr>
          <w:rStyle w:val="VerbatimChar"/>
        </w:rPr>
        <w:t xml:space="preserve">standards/content-types/release-notes.yaml</w:t>
      </w:r>
    </w:p>
    <w:p>
      <w:pPr>
        <w:pStyle w:val="Compact"/>
        <w:numPr>
          <w:ilvl w:val="0"/>
          <w:numId w:val="1008"/>
        </w:numPr>
      </w:pPr>
      <w:r>
        <w:t xml:space="preserve">Canonical assets:</w:t>
      </w:r>
    </w:p>
    <w:p>
      <w:pPr>
        <w:pStyle w:val="Compact"/>
        <w:numPr>
          <w:ilvl w:val="1"/>
          <w:numId w:val="1009"/>
        </w:numPr>
      </w:pPr>
      <w:r>
        <w:t xml:space="preserve">schema:</w:t>
      </w:r>
      <w:r>
        <w:t xml:space="preserve"> </w:t>
      </w:r>
      <w:r>
        <w:rPr>
          <w:rStyle w:val="VerbatimChar"/>
        </w:rPr>
        <w:t xml:space="preserve">templates/release-notes/release-notes-schema.yaml</w:t>
      </w:r>
    </w:p>
    <w:p>
      <w:pPr>
        <w:pStyle w:val="Compact"/>
        <w:numPr>
          <w:ilvl w:val="1"/>
          <w:numId w:val="1009"/>
        </w:numPr>
      </w:pPr>
      <w:r>
        <w:t xml:space="preserve">rendering:</w:t>
      </w:r>
      <w:r>
        <w:t xml:space="preserve"> </w:t>
      </w:r>
      <w:r>
        <w:rPr>
          <w:rStyle w:val="VerbatimChar"/>
        </w:rPr>
        <w:t xml:space="preserve">templates/release-notes/release-notes-rendering.yaml</w:t>
      </w:r>
    </w:p>
    <w:p>
      <w:pPr>
        <w:pStyle w:val="Compact"/>
        <w:numPr>
          <w:ilvl w:val="1"/>
          <w:numId w:val="1009"/>
        </w:numPr>
      </w:pPr>
      <w:r>
        <w:t xml:space="preserve">rules:</w:t>
      </w:r>
      <w:r>
        <w:t xml:space="preserve"> </w:t>
      </w:r>
      <w:r>
        <w:rPr>
          <w:rStyle w:val="VerbatimChar"/>
        </w:rPr>
        <w:t xml:space="preserve">rules/release-notes/release-notes-rule.yaml</w:t>
      </w:r>
    </w:p>
    <w:p>
      <w:pPr>
        <w:pStyle w:val="Compact"/>
        <w:numPr>
          <w:ilvl w:val="1"/>
          <w:numId w:val="1009"/>
        </w:numPr>
      </w:pPr>
      <w:r>
        <w:t xml:space="preserve">skill:</w:t>
      </w:r>
      <w:r>
        <w:t xml:space="preserve"> </w:t>
      </w:r>
      <w:r>
        <w:rPr>
          <w:rStyle w:val="VerbatimChar"/>
        </w:rPr>
        <w:t xml:space="preserve">skills/release-notes/SKILL.md</w:t>
      </w:r>
    </w:p>
    <w:bookmarkEnd w:id="14"/>
    <w:bookmarkStart w:id="15" w:name="slide-6-evidence-workflow"/>
    <w:p>
      <w:pPr>
        <w:pStyle w:val="Heading3"/>
      </w:pPr>
      <w:r>
        <w:t xml:space="preserve">Slide 6: Evidence Workflow</w:t>
      </w:r>
    </w:p>
    <w:p>
      <w:pPr>
        <w:pStyle w:val="Compact"/>
        <w:numPr>
          <w:ilvl w:val="0"/>
          <w:numId w:val="1010"/>
        </w:numPr>
      </w:pPr>
      <w:r>
        <w:t xml:space="preserve">Phase 1: Extraction</w:t>
      </w:r>
    </w:p>
    <w:p>
      <w:pPr>
        <w:pStyle w:val="Compact"/>
        <w:numPr>
          <w:ilvl w:val="1"/>
          <w:numId w:val="1011"/>
        </w:numPr>
      </w:pPr>
      <w:r>
        <w:t xml:space="preserve">issues, PRs, commits, QA results, scans</w:t>
      </w:r>
    </w:p>
    <w:p>
      <w:pPr>
        <w:pStyle w:val="Compact"/>
        <w:numPr>
          <w:ilvl w:val="0"/>
          <w:numId w:val="1010"/>
        </w:numPr>
      </w:pPr>
      <w:r>
        <w:t xml:space="preserve">Phase 2: Reconciliation</w:t>
      </w:r>
    </w:p>
    <w:p>
      <w:pPr>
        <w:pStyle w:val="Compact"/>
        <w:numPr>
          <w:ilvl w:val="1"/>
          <w:numId w:val="1012"/>
        </w:numPr>
      </w:pPr>
      <w:r>
        <w:t xml:space="preserve">source precedence</w:t>
      </w:r>
    </w:p>
    <w:p>
      <w:pPr>
        <w:pStyle w:val="Compact"/>
        <w:numPr>
          <w:ilvl w:val="1"/>
          <w:numId w:val="1012"/>
        </w:numPr>
      </w:pPr>
      <w:r>
        <w:t xml:space="preserve">conflict resolution</w:t>
      </w:r>
    </w:p>
    <w:p>
      <w:pPr>
        <w:pStyle w:val="Compact"/>
        <w:numPr>
          <w:ilvl w:val="1"/>
          <w:numId w:val="1012"/>
        </w:numPr>
      </w:pPr>
      <w:r>
        <w:t xml:space="preserve">confidence scoring</w:t>
      </w:r>
    </w:p>
    <w:p>
      <w:pPr>
        <w:pStyle w:val="Compact"/>
        <w:numPr>
          <w:ilvl w:val="0"/>
          <w:numId w:val="1010"/>
        </w:numPr>
      </w:pPr>
      <w:r>
        <w:t xml:space="preserve">Phase 3: Content generation</w:t>
      </w:r>
    </w:p>
    <w:p>
      <w:pPr>
        <w:pStyle w:val="Compact"/>
        <w:numPr>
          <w:ilvl w:val="1"/>
          <w:numId w:val="1013"/>
        </w:numPr>
      </w:pPr>
      <w:r>
        <w:t xml:space="preserve">map normalized evidence into release-notes schema</w:t>
      </w:r>
    </w:p>
    <w:p>
      <w:pPr>
        <w:pStyle w:val="Compact"/>
        <w:numPr>
          <w:ilvl w:val="0"/>
          <w:numId w:val="1010"/>
        </w:numPr>
      </w:pPr>
      <w:r>
        <w:t xml:space="preserve">Phase 4: Validation</w:t>
      </w:r>
    </w:p>
    <w:p>
      <w:pPr>
        <w:pStyle w:val="Compact"/>
        <w:numPr>
          <w:ilvl w:val="1"/>
          <w:numId w:val="1014"/>
        </w:numPr>
      </w:pPr>
      <w:r>
        <w:t xml:space="preserve">schema + policy + confidence gate</w:t>
      </w:r>
    </w:p>
    <w:p>
      <w:pPr>
        <w:pStyle w:val="Compact"/>
        <w:numPr>
          <w:ilvl w:val="0"/>
          <w:numId w:val="1010"/>
        </w:numPr>
      </w:pPr>
      <w:r>
        <w:t xml:space="preserve">Phase 5: Rendering</w:t>
      </w:r>
    </w:p>
    <w:p>
      <w:pPr>
        <w:pStyle w:val="Compact"/>
        <w:numPr>
          <w:ilvl w:val="1"/>
          <w:numId w:val="1015"/>
        </w:numPr>
      </w:pPr>
      <w:r>
        <w:t xml:space="preserve">Markdown output only after pass</w:t>
      </w:r>
    </w:p>
    <w:bookmarkEnd w:id="15"/>
    <w:bookmarkStart w:id="16" w:name="slide-7-governance-safety"/>
    <w:p>
      <w:pPr>
        <w:pStyle w:val="Heading3"/>
      </w:pPr>
      <w:r>
        <w:t xml:space="preserve">Slide 7: Governance &amp; Safety</w:t>
      </w:r>
    </w:p>
    <w:p>
      <w:pPr>
        <w:pStyle w:val="Compact"/>
        <w:numPr>
          <w:ilvl w:val="0"/>
          <w:numId w:val="1016"/>
        </w:numPr>
      </w:pPr>
      <w:r>
        <w:t xml:space="preserve">Source precedence avoids guesswork</w:t>
      </w:r>
    </w:p>
    <w:p>
      <w:pPr>
        <w:pStyle w:val="Compact"/>
        <w:numPr>
          <w:ilvl w:val="0"/>
          <w:numId w:val="1016"/>
        </w:numPr>
      </w:pPr>
      <w:r>
        <w:t xml:space="preserve">Validation prevents bad releases</w:t>
      </w:r>
    </w:p>
    <w:p>
      <w:pPr>
        <w:pStyle w:val="Compact"/>
        <w:numPr>
          <w:ilvl w:val="0"/>
          <w:numId w:val="1016"/>
        </w:numPr>
      </w:pPr>
      <w:r>
        <w:t xml:space="preserve">Confidence thresholds enable safe automation</w:t>
      </w:r>
    </w:p>
    <w:p>
      <w:pPr>
        <w:pStyle w:val="Compact"/>
        <w:numPr>
          <w:ilvl w:val="0"/>
          <w:numId w:val="1016"/>
        </w:numPr>
      </w:pPr>
      <w:r>
        <w:t xml:space="preserve">Manual review only when needed</w:t>
      </w:r>
    </w:p>
    <w:p>
      <w:pPr>
        <w:pStyle w:val="Compact"/>
        <w:numPr>
          <w:ilvl w:val="0"/>
          <w:numId w:val="1016"/>
        </w:numPr>
      </w:pPr>
      <w:r>
        <w:t xml:space="preserve">Path conventions protect schema and rule references</w:t>
      </w:r>
    </w:p>
    <w:bookmarkEnd w:id="16"/>
    <w:bookmarkStart w:id="17" w:name="slide-8-benefits-delivered"/>
    <w:p>
      <w:pPr>
        <w:pStyle w:val="Heading3"/>
      </w:pPr>
      <w:r>
        <w:t xml:space="preserve">Slide 8: Benefits Delivered</w:t>
      </w:r>
    </w:p>
    <w:p>
      <w:pPr>
        <w:pStyle w:val="Compact"/>
        <w:numPr>
          <w:ilvl w:val="0"/>
          <w:numId w:val="1017"/>
        </w:numPr>
      </w:pPr>
      <w:r>
        <w:t xml:space="preserve">Faster, more reliable release note assembly</w:t>
      </w:r>
    </w:p>
    <w:p>
      <w:pPr>
        <w:pStyle w:val="Compact"/>
        <w:numPr>
          <w:ilvl w:val="0"/>
          <w:numId w:val="1017"/>
        </w:numPr>
      </w:pPr>
      <w:r>
        <w:t xml:space="preserve">Consistent structure across releases</w:t>
      </w:r>
    </w:p>
    <w:p>
      <w:pPr>
        <w:pStyle w:val="Compact"/>
        <w:numPr>
          <w:ilvl w:val="0"/>
          <w:numId w:val="1017"/>
        </w:numPr>
      </w:pPr>
      <w:r>
        <w:t xml:space="preserve">Better audit trail for why each release item exists</w:t>
      </w:r>
    </w:p>
    <w:p>
      <w:pPr>
        <w:pStyle w:val="Compact"/>
        <w:numPr>
          <w:ilvl w:val="0"/>
          <w:numId w:val="1017"/>
        </w:numPr>
      </w:pPr>
      <w:r>
        <w:t xml:space="preserve">Single authoritative standard for consumer repos</w:t>
      </w:r>
    </w:p>
    <w:p>
      <w:pPr>
        <w:pStyle w:val="Compact"/>
        <w:numPr>
          <w:ilvl w:val="0"/>
          <w:numId w:val="1017"/>
        </w:numPr>
      </w:pPr>
      <w:r>
        <w:t xml:space="preserve">Easier onboarding for new products/content types</w:t>
      </w:r>
    </w:p>
    <w:bookmarkEnd w:id="17"/>
    <w:bookmarkStart w:id="18" w:name="slide-9-why-this-matters-for-management"/>
    <w:p>
      <w:pPr>
        <w:pStyle w:val="Heading3"/>
      </w:pPr>
      <w:r>
        <w:t xml:space="preserve">Slide 9: Why This Matters for Management</w:t>
      </w:r>
    </w:p>
    <w:p>
      <w:pPr>
        <w:pStyle w:val="Compact"/>
        <w:numPr>
          <w:ilvl w:val="0"/>
          <w:numId w:val="1018"/>
        </w:numPr>
      </w:pPr>
      <w:r>
        <w:t xml:space="preserve">Reduces release documentation risk</w:t>
      </w:r>
    </w:p>
    <w:p>
      <w:pPr>
        <w:pStyle w:val="Compact"/>
        <w:numPr>
          <w:ilvl w:val="0"/>
          <w:numId w:val="1018"/>
        </w:numPr>
      </w:pPr>
      <w:r>
        <w:t xml:space="preserve">Enables scaling from one skill to many content types</w:t>
      </w:r>
    </w:p>
    <w:p>
      <w:pPr>
        <w:pStyle w:val="Compact"/>
        <w:numPr>
          <w:ilvl w:val="0"/>
          <w:numId w:val="1018"/>
        </w:numPr>
      </w:pPr>
      <w:r>
        <w:t xml:space="preserve">Supports compliance and traceability</w:t>
      </w:r>
    </w:p>
    <w:p>
      <w:pPr>
        <w:pStyle w:val="Compact"/>
        <w:numPr>
          <w:ilvl w:val="0"/>
          <w:numId w:val="1018"/>
        </w:numPr>
      </w:pPr>
      <w:r>
        <w:t xml:space="preserve">Lowers cost of documentation creation and review</w:t>
      </w:r>
    </w:p>
    <w:p>
      <w:pPr>
        <w:pStyle w:val="Compact"/>
        <w:numPr>
          <w:ilvl w:val="0"/>
          <w:numId w:val="1018"/>
        </w:numPr>
      </w:pPr>
      <w:r>
        <w:t xml:space="preserve">Positions us to offer a reusable, upgrade-safe documentation standard</w:t>
      </w:r>
    </w:p>
    <w:bookmarkEnd w:id="18"/>
    <w:bookmarkStart w:id="19" w:name="slide-10-next-steps"/>
    <w:p>
      <w:pPr>
        <w:pStyle w:val="Heading3"/>
      </w:pPr>
      <w:r>
        <w:t xml:space="preserve">Slide 10: Next Steps</w:t>
      </w:r>
    </w:p>
    <w:p>
      <w:pPr>
        <w:pStyle w:val="Compact"/>
        <w:numPr>
          <w:ilvl w:val="0"/>
          <w:numId w:val="1019"/>
        </w:numPr>
      </w:pPr>
      <w:r>
        <w:t xml:space="preserve">Demo the</w:t>
      </w:r>
      <w:r>
        <w:t xml:space="preserve"> </w:t>
      </w:r>
      <w:r>
        <w:rPr>
          <w:rStyle w:val="VerbatimChar"/>
        </w:rPr>
        <w:t xml:space="preserve">release-notes</w:t>
      </w:r>
      <w:r>
        <w:t xml:space="preserve"> </w:t>
      </w:r>
      <w:r>
        <w:t xml:space="preserve">skill with a real release cycle</w:t>
      </w:r>
    </w:p>
    <w:p>
      <w:pPr>
        <w:pStyle w:val="Compact"/>
        <w:numPr>
          <w:ilvl w:val="0"/>
          <w:numId w:val="1019"/>
        </w:numPr>
      </w:pPr>
      <w:r>
        <w:t xml:space="preserve">Onboard one product team to the registry/manifest pattern</w:t>
      </w:r>
    </w:p>
    <w:p>
      <w:pPr>
        <w:pStyle w:val="Compact"/>
        <w:numPr>
          <w:ilvl w:val="0"/>
          <w:numId w:val="1019"/>
        </w:numPr>
      </w:pPr>
      <w:r>
        <w:t xml:space="preserve">Extend the framework to additional content types</w:t>
      </w:r>
    </w:p>
    <w:p>
      <w:pPr>
        <w:pStyle w:val="Compact"/>
        <w:numPr>
          <w:ilvl w:val="0"/>
          <w:numId w:val="1019"/>
        </w:numPr>
      </w:pPr>
      <w:r>
        <w:t xml:space="preserve">Track quality improvements and time saved</w:t>
      </w:r>
    </w:p>
    <w:p>
      <w:pPr>
        <w:pStyle w:val="Compact"/>
        <w:numPr>
          <w:ilvl w:val="0"/>
          <w:numId w:val="1019"/>
        </w:numPr>
      </w:pPr>
      <w:r>
        <w:t xml:space="preserve">Adopt the framework as the standard release documentation process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ecommended-demo-narrative"/>
    <w:p>
      <w:pPr>
        <w:pStyle w:val="Heading2"/>
      </w:pPr>
      <w:r>
        <w:t xml:space="preserve">Recommended Demo Narrative</w:t>
      </w:r>
    </w:p>
    <w:p>
      <w:pPr>
        <w:pStyle w:val="Compact"/>
        <w:numPr>
          <w:ilvl w:val="0"/>
          <w:numId w:val="1020"/>
        </w:numPr>
      </w:pPr>
      <w:r>
        <w:t xml:space="preserve">Show the</w:t>
      </w:r>
      <w:r>
        <w:t xml:space="preserve"> </w:t>
      </w:r>
      <w:r>
        <w:rPr>
          <w:rStyle w:val="VerbatimChar"/>
        </w:rPr>
        <w:t xml:space="preserve">release-notes</w:t>
      </w:r>
      <w:r>
        <w:t xml:space="preserve"> </w:t>
      </w:r>
      <w:r>
        <w:t xml:space="preserve">skill and its process from</w:t>
      </w:r>
      <w:r>
        <w:t xml:space="preserve"> </w:t>
      </w:r>
      <w:r>
        <w:rPr>
          <w:rStyle w:val="VerbatimChar"/>
        </w:rPr>
        <w:t xml:space="preserve">skills/release-notes/SKILL.md</w:t>
      </w:r>
    </w:p>
    <w:p>
      <w:pPr>
        <w:pStyle w:val="Compact"/>
        <w:numPr>
          <w:ilvl w:val="0"/>
          <w:numId w:val="1020"/>
        </w:numPr>
      </w:pPr>
      <w:r>
        <w:t xml:space="preserve">Explain how the manifest architecture keeps content paths stable</w:t>
      </w:r>
    </w:p>
    <w:p>
      <w:pPr>
        <w:pStyle w:val="Compact"/>
        <w:numPr>
          <w:ilvl w:val="0"/>
          <w:numId w:val="1020"/>
        </w:numPr>
      </w:pPr>
      <w:r>
        <w:t xml:space="preserve">Show the evidence reconciliation logic and confidence scoring</w:t>
      </w:r>
    </w:p>
    <w:p>
      <w:pPr>
        <w:pStyle w:val="Compact"/>
        <w:numPr>
          <w:ilvl w:val="0"/>
          <w:numId w:val="1020"/>
        </w:numPr>
      </w:pPr>
      <w:r>
        <w:t xml:space="preserve">Show that validation is required before rendering</w:t>
      </w:r>
    </w:p>
    <w:p>
      <w:pPr>
        <w:pStyle w:val="Compact"/>
        <w:numPr>
          <w:ilvl w:val="0"/>
          <w:numId w:val="1020"/>
        </w:numPr>
      </w:pPr>
      <w:r>
        <w:t xml:space="preserve">Illustrate how a consumer repo can adopt the skill without copying standards</w:t>
      </w:r>
    </w:p>
    <w:p>
      <w:pPr>
        <w:pStyle w:val="BlockText"/>
      </w:pPr>
      <w:r>
        <w:t xml:space="preserve">This pitch highlights that we are not selling a single tool; we are selling a standards-based documentation automation framework with strong governance, auditability, and extensibility.</w:t>
      </w:r>
    </w:p>
    <w:p>
      <w:pPr>
        <w:pStyle w:val="FirstParagraph"/>
      </w:pPr>
      <w:r>
        <w:t xml:space="preserve">If you want, I can also turn this into a polished slide deck outline with speaker notes for each slide.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2026-06-14T02:47:16Z</dcterms:created>
  <dcterms:modified xsi:type="dcterms:W3CDTF">2026-06-14T02:47:16Z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