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svg" ContentType="image/svg+xml"/>
  <Override PartName="/word/media/rId14.svg" ContentType="image/svg+xml"/>
  <Override PartName="/word/media/rId18.svg" ContentType="image/svg+xml"/>
  <Override PartName="/word/media/rId3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Release Notes Automation Framework</w:t>
      </w:r>
    </w:p>
    <w:p>
      <w:pPr>
        <w:pStyle w:val="Subtitle"/>
      </w:pPr>
      <w:r>
        <w:t xml:space="preserve">Standards-first documentation, built for reliable release publishing</w:t>
      </w:r>
    </w:p>
    <w:p>
      <w:pPr>
        <w:pStyle w:val="Author"/>
      </w:pPr>
      <w:r>
        <w:t xml:space="preserve">intuiract</w:t>
      </w:r>
    </w:p>
    <w:p>
      <w:pPr>
        <w:pStyle w:val="Date"/>
      </w:pPr>
      <w:r>
        <w:t xml:space="preserve">2026</w:t>
      </w:r>
    </w:p>
    <w:bookmarkStart w:id="9" w:name="problem-statement"/>
    <w:p>
      <w:pPr>
        <w:pStyle w:val="Heading2"/>
      </w:pPr>
      <w:r>
        <w:t xml:space="preserve">Problem Statement</w:t>
      </w:r>
    </w:p>
    <w:p>
      <w:pPr>
        <w:pStyle w:val="Compact"/>
        <w:numPr>
          <w:ilvl w:val="0"/>
          <w:numId w:val="1001"/>
        </w:numPr>
      </w:pPr>
      <w:r>
        <w:t xml:space="preserve">Release notes are often manual, inconsistent, and error-prone</w:t>
      </w:r>
    </w:p>
    <w:p>
      <w:pPr>
        <w:pStyle w:val="Compact"/>
        <w:numPr>
          <w:ilvl w:val="0"/>
          <w:numId w:val="1001"/>
        </w:numPr>
      </w:pPr>
      <w:r>
        <w:t xml:space="preserve">Teams lose time reconciling issues, PRs, commits, and QA evidence</w:t>
      </w:r>
    </w:p>
    <w:p>
      <w:pPr>
        <w:pStyle w:val="Compact"/>
        <w:numPr>
          <w:ilvl w:val="0"/>
          <w:numId w:val="1001"/>
        </w:numPr>
      </w:pPr>
      <w:r>
        <w:t xml:space="preserve">Output quality drops when docs are generated without validation</w:t>
      </w:r>
    </w:p>
    <w:p>
      <w:pPr>
        <w:pStyle w:val="Compact"/>
        <w:numPr>
          <w:ilvl w:val="0"/>
          <w:numId w:val="1001"/>
        </w:numPr>
      </w:pPr>
      <w:r>
        <w:t xml:space="preserve">We needed a governed automation path — not ad hoc markdown generation</w:t>
      </w:r>
    </w:p>
    <w:bookmarkEnd w:id="9"/>
    <w:bookmarkStart w:id="13" w:name="architecture-diagram"/>
    <w:p>
      <w:pPr>
        <w:pStyle w:val="Heading2"/>
      </w:pPr>
      <w:r>
        <w:t xml:space="preserve">Architecture Diagram</w:t>
      </w:r>
    </w:p>
    <w:p>
      <w:pPr>
        <w:pStyle w:val="CaptionedFigure"/>
      </w:pPr>
      <w:r>
        <w:drawing>
          <wp:inline>
            <wp:extent cx="5334000" cy="3421811"/>
            <wp:effectExtent b="0" l="0" r="0" t="0"/>
            <wp:docPr descr="Release Notes Architecture" title="" id="11" name="Picture"/>
            <a:graphic>
              <a:graphicData uri="http://schemas.openxmlformats.org/drawingml/2006/picture">
                <pic:pic>
                  <pic:nvPicPr>
                    <pic:cNvPr descr="docs/pitch/diagram-architecture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Release Notes Architecture</w:t>
      </w:r>
    </w:p>
    <w:bookmarkEnd w:id="13"/>
    <w:bookmarkStart w:id="17" w:name="pipeline"/>
    <w:p>
      <w:pPr>
        <w:pStyle w:val="Heading2"/>
      </w:pPr>
      <w:r>
        <w:t xml:space="preserve">Pipeline</w:t>
      </w:r>
    </w:p>
    <w:p>
      <w:pPr>
        <w:pStyle w:val="CaptionedFigure"/>
      </w:pPr>
      <w:r>
        <w:drawing>
          <wp:inline>
            <wp:extent cx="5334000" cy="1813560"/>
            <wp:effectExtent b="0" l="0" r="0" t="0"/>
            <wp:docPr descr="Release Notes Pipeline" title="" id="15" name="Picture"/>
            <a:graphic>
              <a:graphicData uri="http://schemas.openxmlformats.org/drawingml/2006/picture">
                <pic:pic>
                  <pic:nvPicPr>
                    <pic:cNvPr descr="docs/pitch/diagram-pipeline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Release Notes Pipeline</w:t>
      </w:r>
    </w:p>
    <w:bookmarkEnd w:id="17"/>
    <w:bookmarkStart w:id="21" w:name="reconciliation-logic"/>
    <w:p>
      <w:pPr>
        <w:pStyle w:val="Heading2"/>
      </w:pPr>
      <w:r>
        <w:t xml:space="preserve">Reconciliation Logic</w:t>
      </w:r>
    </w:p>
    <w:p>
      <w:pPr>
        <w:pStyle w:val="CaptionedFigure"/>
      </w:pPr>
      <w:r>
        <w:drawing>
          <wp:inline>
            <wp:extent cx="5334000" cy="2521527"/>
            <wp:effectExtent b="0" l="0" r="0" t="0"/>
            <wp:docPr descr="Release Notes Reconciliation" title="" id="19" name="Picture"/>
            <a:graphic>
              <a:graphicData uri="http://schemas.openxmlformats.org/drawingml/2006/picture">
                <pic:pic>
                  <pic:nvPicPr>
                    <pic:cNvPr descr="docs/pitch/diagram-reconciliation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Release Notes Reconciliation</w:t>
      </w:r>
    </w:p>
    <w:bookmarkEnd w:id="21"/>
    <w:bookmarkStart w:id="22" w:name="our-solution"/>
    <w:p>
      <w:pPr>
        <w:pStyle w:val="Heading2"/>
      </w:pPr>
      <w:r>
        <w:t xml:space="preserve">Our Solution</w:t>
      </w:r>
    </w:p>
    <w:p>
      <w:pPr>
        <w:pStyle w:val="FirstParagraph"/>
      </w:pPr>
      <w:r>
        <w:t xml:space="preserve">A standards-driven framework for release documentation.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release-notes</w:t>
      </w:r>
      <w:r>
        <w:t xml:space="preserve"> </w:t>
      </w:r>
      <w:r>
        <w:t xml:space="preserve">skill:</w:t>
      </w:r>
    </w:p>
    <w:p>
      <w:pPr>
        <w:pStyle w:val="Compact"/>
        <w:numPr>
          <w:ilvl w:val="0"/>
          <w:numId w:val="1002"/>
        </w:numPr>
      </w:pPr>
      <w:r>
        <w:t xml:space="preserve">Extracts evidence from GitHub</w:t>
      </w:r>
    </w:p>
    <w:p>
      <w:pPr>
        <w:pStyle w:val="Compact"/>
        <w:numPr>
          <w:ilvl w:val="0"/>
          <w:numId w:val="1002"/>
        </w:numPr>
      </w:pPr>
      <w:r>
        <w:t xml:space="preserve">Reconciles multiple conflicting sources</w:t>
      </w:r>
    </w:p>
    <w:p>
      <w:pPr>
        <w:pStyle w:val="Compact"/>
        <w:numPr>
          <w:ilvl w:val="0"/>
          <w:numId w:val="1002"/>
        </w:numPr>
      </w:pPr>
      <w:r>
        <w:t xml:space="preserve">Normalizes and scores each item</w:t>
      </w:r>
    </w:p>
    <w:p>
      <w:pPr>
        <w:pStyle w:val="Compact"/>
        <w:numPr>
          <w:ilvl w:val="0"/>
          <w:numId w:val="1002"/>
        </w:numPr>
      </w:pPr>
      <w:r>
        <w:t xml:space="preserve">Validates structured output against a schema</w:t>
      </w:r>
    </w:p>
    <w:p>
      <w:pPr>
        <w:pStyle w:val="Compact"/>
        <w:numPr>
          <w:ilvl w:val="0"/>
          <w:numId w:val="1002"/>
        </w:numPr>
      </w:pPr>
      <w:r>
        <w:t xml:space="preserve">Renders publication-ready Markdown only after passing all checks</w:t>
      </w:r>
    </w:p>
    <w:bookmarkEnd w:id="22"/>
    <w:bookmarkStart w:id="23" w:name="what-makes-it-different"/>
    <w:p>
      <w:pPr>
        <w:pStyle w:val="Heading2"/>
      </w:pPr>
      <w:r>
        <w:t xml:space="preserve">What Makes It Different</w:t>
      </w:r>
    </w:p>
    <w:p>
      <w:pPr>
        <w:pStyle w:val="FirstParagraph"/>
      </w:pPr>
      <w:r>
        <w:t xml:space="preserve">Not just</w:t>
      </w:r>
      <w:r>
        <w:t xml:space="preserve"> </w:t>
      </w:r>
      <w:r>
        <w:t xml:space="preserve">“git diff → doc.”</w:t>
      </w:r>
    </w:p>
    <w:p>
      <w:pPr>
        <w:pStyle w:val="BodyText"/>
      </w:pPr>
      <w:r>
        <w:t xml:space="preserve">Built on: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standards/content-types.yaml</w:t>
      </w:r>
      <w:r>
        <w:t xml:space="preserve"> </w:t>
      </w:r>
      <w:r>
        <w:t xml:space="preserve">— central registry</w:t>
      </w:r>
    </w:p>
    <w:p>
      <w:pPr>
        <w:pStyle w:val="Compact"/>
        <w:numPr>
          <w:ilvl w:val="0"/>
          <w:numId w:val="1003"/>
        </w:numPr>
      </w:pPr>
      <w:r>
        <w:t xml:space="preserve">Content type manifests — stable pointer files</w:t>
      </w:r>
    </w:p>
    <w:p>
      <w:pPr>
        <w:pStyle w:val="Compact"/>
        <w:numPr>
          <w:ilvl w:val="0"/>
          <w:numId w:val="1003"/>
        </w:numPr>
      </w:pPr>
      <w:r>
        <w:t xml:space="preserve">Canonical schema and rendering rules</w:t>
      </w:r>
    </w:p>
    <w:p>
      <w:pPr>
        <w:pStyle w:val="Compact"/>
        <w:numPr>
          <w:ilvl w:val="0"/>
          <w:numId w:val="1003"/>
        </w:numPr>
      </w:pPr>
      <w:r>
        <w:t xml:space="preserve">Validation rules — schema, policy, confidence</w:t>
      </w:r>
    </w:p>
    <w:p>
      <w:pPr>
        <w:pStyle w:val="Compact"/>
        <w:numPr>
          <w:ilvl w:val="0"/>
          <w:numId w:val="1003"/>
        </w:numPr>
      </w:pPr>
      <w:r>
        <w:t xml:space="preserve">Human-readable skill and process documentation</w:t>
      </w:r>
    </w:p>
    <w:p>
      <w:pPr>
        <w:pStyle w:val="FirstParagraph"/>
      </w:pPr>
      <w:r>
        <w:t xml:space="preserve">Outcome:</w:t>
      </w:r>
      <w:r>
        <w:t xml:space="preserve"> </w:t>
      </w:r>
      <w:r>
        <w:rPr>
          <w:b/>
          <w:bCs/>
        </w:rPr>
        <w:t xml:space="preserve">deterministic, auditable, reusable</w:t>
      </w:r>
    </w:p>
    <w:bookmarkEnd w:id="23"/>
    <w:bookmarkStart w:id="24" w:name="key-architecture"/>
    <w:p>
      <w:pPr>
        <w:pStyle w:val="Heading2"/>
      </w:pPr>
      <w:r>
        <w:t xml:space="preserve">Key Architecture</w:t>
      </w:r>
    </w:p>
    <w:p>
      <w:pPr>
        <w:pStyle w:val="FirstParagraph"/>
      </w:pPr>
      <w:r>
        <w:t xml:space="preserve">Registry-first discovery:</w:t>
      </w:r>
    </w:p>
    <w:p>
      <w:pPr>
        <w:pStyle w:val="Compact"/>
        <w:numPr>
          <w:ilvl w:val="0"/>
          <w:numId w:val="1004"/>
        </w:numPr>
      </w:pPr>
      <w:r>
        <w:t xml:space="preserve">Registry:</w:t>
      </w:r>
      <w:r>
        <w:t xml:space="preserve"> </w:t>
      </w:r>
      <w:r>
        <w:rPr>
          <w:rStyle w:val="VerbatimChar"/>
        </w:rPr>
        <w:t xml:space="preserve">standards/content-types.yaml</w:t>
      </w:r>
    </w:p>
    <w:p>
      <w:pPr>
        <w:pStyle w:val="Compact"/>
        <w:numPr>
          <w:ilvl w:val="0"/>
          <w:numId w:val="1004"/>
        </w:numPr>
      </w:pPr>
      <w:r>
        <w:t xml:space="preserve">Manifest:</w:t>
      </w:r>
      <w:r>
        <w:t xml:space="preserve"> </w:t>
      </w:r>
      <w:r>
        <w:rPr>
          <w:rStyle w:val="VerbatimChar"/>
        </w:rPr>
        <w:t xml:space="preserve">standards/content-types/release-notes.yaml</w:t>
      </w:r>
    </w:p>
    <w:p>
      <w:pPr>
        <w:pStyle w:val="Compact"/>
        <w:numPr>
          <w:ilvl w:val="0"/>
          <w:numId w:val="1004"/>
        </w:numPr>
      </w:pPr>
      <w:r>
        <w:t xml:space="preserve">Schema:</w:t>
      </w:r>
      <w:r>
        <w:t xml:space="preserve"> </w:t>
      </w:r>
      <w:r>
        <w:rPr>
          <w:rStyle w:val="VerbatimChar"/>
        </w:rPr>
        <w:t xml:space="preserve">templates/release-notes/release-notes-schema.yaml</w:t>
      </w:r>
    </w:p>
    <w:p>
      <w:pPr>
        <w:pStyle w:val="Compact"/>
        <w:numPr>
          <w:ilvl w:val="0"/>
          <w:numId w:val="1004"/>
        </w:numPr>
      </w:pPr>
      <w:r>
        <w:t xml:space="preserve">Rendering:</w:t>
      </w:r>
      <w:r>
        <w:t xml:space="preserve"> </w:t>
      </w:r>
      <w:r>
        <w:rPr>
          <w:rStyle w:val="VerbatimChar"/>
        </w:rPr>
        <w:t xml:space="preserve">templates/release-notes/release-notes-rendering.yaml</w:t>
      </w:r>
    </w:p>
    <w:p>
      <w:pPr>
        <w:pStyle w:val="Compact"/>
        <w:numPr>
          <w:ilvl w:val="0"/>
          <w:numId w:val="1004"/>
        </w:numPr>
      </w:pPr>
      <w:r>
        <w:t xml:space="preserve">Rules:</w:t>
      </w:r>
      <w:r>
        <w:t xml:space="preserve"> </w:t>
      </w:r>
      <w:r>
        <w:rPr>
          <w:rStyle w:val="VerbatimChar"/>
        </w:rPr>
        <w:t xml:space="preserve">rules/release-notes/release-notes-rule.yaml</w:t>
      </w:r>
    </w:p>
    <w:p>
      <w:pPr>
        <w:pStyle w:val="Compact"/>
        <w:numPr>
          <w:ilvl w:val="0"/>
          <w:numId w:val="1004"/>
        </w:numPr>
      </w:pPr>
      <w:r>
        <w:t xml:space="preserve">Skill:</w:t>
      </w:r>
      <w:r>
        <w:t xml:space="preserve"> </w:t>
      </w:r>
      <w:r>
        <w:rPr>
          <w:rStyle w:val="VerbatimChar"/>
        </w:rPr>
        <w:t xml:space="preserve">skills/release-notes/SKILL.md</w:t>
      </w:r>
    </w:p>
    <w:bookmarkEnd w:id="24"/>
    <w:bookmarkStart w:id="25" w:name="evidence-workflow"/>
    <w:p>
      <w:pPr>
        <w:pStyle w:val="Heading2"/>
      </w:pPr>
      <w:r>
        <w:t xml:space="preserve">Evidence Workflow</w:t>
      </w:r>
    </w:p>
    <w:p>
      <w:pPr>
        <w:pStyle w:val="FirstParagraph"/>
      </w:pPr>
      <w:r>
        <w:t xml:space="preserve">Five phases — no skipping, no merging: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Extraction</w:t>
      </w:r>
      <w:r>
        <w:t xml:space="preserve"> </w:t>
      </w:r>
      <w:r>
        <w:t xml:space="preserve">— issues, PRs, commits, QA results, scans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Reconciliation</w:t>
      </w:r>
      <w:r>
        <w:t xml:space="preserve"> </w:t>
      </w:r>
      <w:r>
        <w:t xml:space="preserve">— source precedence, conflict resolution, confidence scoring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 Generation</w:t>
      </w:r>
      <w:r>
        <w:t xml:space="preserve"> </w:t>
      </w:r>
      <w:r>
        <w:t xml:space="preserve">— map normalized evidence into release-notes schema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— schema + policy + confidence gate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Rendering</w:t>
      </w:r>
      <w:r>
        <w:t xml:space="preserve"> </w:t>
      </w:r>
      <w:r>
        <w:t xml:space="preserve">— Markdown output only after all checks pass</w:t>
      </w:r>
    </w:p>
    <w:bookmarkEnd w:id="25"/>
    <w:bookmarkStart w:id="26" w:name="governance-and-safety"/>
    <w:p>
      <w:pPr>
        <w:pStyle w:val="Heading2"/>
      </w:pPr>
      <w:r>
        <w:t xml:space="preserve">Governance and Safety</w:t>
      </w:r>
    </w:p>
    <w:p>
      <w:pPr>
        <w:pStyle w:val="Compact"/>
        <w:numPr>
          <w:ilvl w:val="0"/>
          <w:numId w:val="1006"/>
        </w:numPr>
      </w:pPr>
      <w:r>
        <w:t xml:space="preserve">Source precedence removes guesswork — every field has a deterministic authority chain</w:t>
      </w:r>
    </w:p>
    <w:p>
      <w:pPr>
        <w:pStyle w:val="Compact"/>
        <w:numPr>
          <w:ilvl w:val="0"/>
          <w:numId w:val="1006"/>
        </w:numPr>
      </w:pPr>
      <w:r>
        <w:t xml:space="preserve">Validation prevents bad releases from being published</w:t>
      </w:r>
    </w:p>
    <w:p>
      <w:pPr>
        <w:pStyle w:val="Compact"/>
        <w:numPr>
          <w:ilvl w:val="0"/>
          <w:numId w:val="1006"/>
        </w:numPr>
      </w:pPr>
      <w:r>
        <w:t xml:space="preserve">Confidence thresholds enable safe automation with minimal manual review</w:t>
      </w:r>
    </w:p>
    <w:p>
      <w:pPr>
        <w:pStyle w:val="Compact"/>
        <w:numPr>
          <w:ilvl w:val="0"/>
          <w:numId w:val="1006"/>
        </w:numPr>
      </w:pPr>
      <w:r>
        <w:t xml:space="preserve">Path conventions protect schema and rule references from breaking across repos</w:t>
      </w:r>
    </w:p>
    <w:bookmarkEnd w:id="26"/>
    <w:bookmarkStart w:id="27" w:name="benefits-delivered"/>
    <w:p>
      <w:pPr>
        <w:pStyle w:val="Heading2"/>
      </w:pPr>
      <w:r>
        <w:t xml:space="preserve">Benefits Delivered</w:t>
      </w:r>
    </w:p>
    <w:p>
      <w:pPr>
        <w:pStyle w:val="Compact"/>
        <w:numPr>
          <w:ilvl w:val="0"/>
          <w:numId w:val="1007"/>
        </w:numPr>
      </w:pPr>
      <w:r>
        <w:t xml:space="preserve">Faster, more reliable release note assembly</w:t>
      </w:r>
    </w:p>
    <w:p>
      <w:pPr>
        <w:pStyle w:val="Compact"/>
        <w:numPr>
          <w:ilvl w:val="0"/>
          <w:numId w:val="1007"/>
        </w:numPr>
      </w:pPr>
      <w:r>
        <w:t xml:space="preserve">Consistent structure across every release</w:t>
      </w:r>
    </w:p>
    <w:p>
      <w:pPr>
        <w:pStyle w:val="Compact"/>
        <w:numPr>
          <w:ilvl w:val="0"/>
          <w:numId w:val="1007"/>
        </w:numPr>
      </w:pPr>
      <w:r>
        <w:t xml:space="preserve">Better audit trail — provenance recorded for each release item</w:t>
      </w:r>
    </w:p>
    <w:p>
      <w:pPr>
        <w:pStyle w:val="Compact"/>
        <w:numPr>
          <w:ilvl w:val="0"/>
          <w:numId w:val="1007"/>
        </w:numPr>
      </w:pPr>
      <w:r>
        <w:t xml:space="preserve">Single authoritative standard for all consumer repositories</w:t>
      </w:r>
    </w:p>
    <w:p>
      <w:pPr>
        <w:pStyle w:val="Compact"/>
        <w:numPr>
          <w:ilvl w:val="0"/>
          <w:numId w:val="1007"/>
        </w:numPr>
      </w:pPr>
      <w:r>
        <w:t xml:space="preserve">Easier onboarding for new products and content types</w:t>
      </w:r>
    </w:p>
    <w:bookmarkEnd w:id="27"/>
    <w:bookmarkStart w:id="28" w:name="why-this-matters-for-management"/>
    <w:p>
      <w:pPr>
        <w:pStyle w:val="Heading2"/>
      </w:pPr>
      <w:r>
        <w:t xml:space="preserve">Why This Matters for Management</w:t>
      </w:r>
    </w:p>
    <w:p>
      <w:pPr>
        <w:pStyle w:val="Compact"/>
        <w:numPr>
          <w:ilvl w:val="0"/>
          <w:numId w:val="1008"/>
        </w:numPr>
      </w:pPr>
      <w:r>
        <w:t xml:space="preserve">Reduces release documentation risk</w:t>
      </w:r>
    </w:p>
    <w:p>
      <w:pPr>
        <w:pStyle w:val="Compact"/>
        <w:numPr>
          <w:ilvl w:val="0"/>
          <w:numId w:val="1008"/>
        </w:numPr>
      </w:pPr>
      <w:r>
        <w:t xml:space="preserve">Scales from one skill to many content types without rework</w:t>
      </w:r>
    </w:p>
    <w:p>
      <w:pPr>
        <w:pStyle w:val="Compact"/>
        <w:numPr>
          <w:ilvl w:val="0"/>
          <w:numId w:val="1008"/>
        </w:numPr>
      </w:pPr>
      <w:r>
        <w:t xml:space="preserve">Supports compliance and traceability requirements</w:t>
      </w:r>
    </w:p>
    <w:p>
      <w:pPr>
        <w:pStyle w:val="Compact"/>
        <w:numPr>
          <w:ilvl w:val="0"/>
          <w:numId w:val="1008"/>
        </w:numPr>
      </w:pPr>
      <w:r>
        <w:t xml:space="preserve">Lowers cost of documentation creation and review</w:t>
      </w:r>
    </w:p>
    <w:p>
      <w:pPr>
        <w:pStyle w:val="Compact"/>
        <w:numPr>
          <w:ilvl w:val="0"/>
          <w:numId w:val="1008"/>
        </w:numPr>
      </w:pPr>
      <w:r>
        <w:t xml:space="preserve">Positions us to offer a reusable, upgrade-safe documentation standard</w:t>
      </w:r>
    </w:p>
    <w:bookmarkEnd w:id="28"/>
    <w:bookmarkStart w:id="29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9"/>
        </w:numPr>
      </w:pPr>
      <w:r>
        <w:t xml:space="preserve">Demo the</w:t>
      </w:r>
      <w:r>
        <w:t xml:space="preserve"> </w:t>
      </w:r>
      <w:r>
        <w:rPr>
          <w:rStyle w:val="VerbatimChar"/>
        </w:rPr>
        <w:t xml:space="preserve">release-notes</w:t>
      </w:r>
      <w:r>
        <w:t xml:space="preserve"> </w:t>
      </w:r>
      <w:r>
        <w:t xml:space="preserve">skill with a real release cycle</w:t>
      </w:r>
    </w:p>
    <w:p>
      <w:pPr>
        <w:pStyle w:val="Compact"/>
        <w:numPr>
          <w:ilvl w:val="0"/>
          <w:numId w:val="1009"/>
        </w:numPr>
      </w:pPr>
      <w:r>
        <w:t xml:space="preserve">Onboard one product team to the registry/manifest pattern</w:t>
      </w:r>
    </w:p>
    <w:p>
      <w:pPr>
        <w:pStyle w:val="Compact"/>
        <w:numPr>
          <w:ilvl w:val="0"/>
          <w:numId w:val="1009"/>
        </w:numPr>
      </w:pPr>
      <w:r>
        <w:t xml:space="preserve">Extend the framework to additional content types</w:t>
      </w:r>
    </w:p>
    <w:p>
      <w:pPr>
        <w:pStyle w:val="Compact"/>
        <w:numPr>
          <w:ilvl w:val="0"/>
          <w:numId w:val="1009"/>
        </w:numPr>
      </w:pPr>
      <w:r>
        <w:t xml:space="preserve">Track quality improvements and time saved</w:t>
      </w:r>
    </w:p>
    <w:p>
      <w:pPr>
        <w:pStyle w:val="Compact"/>
        <w:numPr>
          <w:ilvl w:val="0"/>
          <w:numId w:val="1009"/>
        </w:numPr>
      </w:pPr>
      <w:r>
        <w:t xml:space="preserve">Adopt as the standard release documentation process across all products</w:t>
      </w:r>
    </w:p>
    <w:bookmarkEnd w:id="29"/>
    <w:bookmarkStart w:id="30" w:name="X004c51a4d5c5cff2faeda57191bd5bd86dbf73f"/>
    <w:p>
      <w:pPr>
        <w:pStyle w:val="Heading2"/>
      </w:pPr>
      <w:r>
        <w:t xml:space="preserve">Course Correction — Closing the Execution Gap</w:t>
      </w:r>
    </w:p>
    <w:p>
      <w:pPr>
        <w:pStyle w:val="FirstParagraph"/>
      </w:pPr>
      <w:r>
        <w:t xml:space="preserve">The design is Tier 4. The execution is still Tier 2 — reconciliation logic lives in prose instructions where deterministic code should run. Three focused moves close that gap: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Prompt caching</w:t>
      </w:r>
      <w:r>
        <w:t xml:space="preserve"> </w:t>
      </w:r>
      <w:r>
        <w:t xml:space="preserve">— standards files are large and static; cache them once, cut token cost on every future run permanently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Structured outputs</w:t>
      </w:r>
      <w:r>
        <w:t xml:space="preserve"> </w:t>
      </w:r>
      <w:r>
        <w:t xml:space="preserve">— replace free-form YAML generation with schema-enforced structured output; catch violations at generation time, not after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reconcile.py</w:t>
      </w:r>
      <w:r>
        <w:t xml:space="preserve"> </w:t>
      </w:r>
      <w:r>
        <w:t xml:space="preserve">— move source-precedence application from LLM instruction to actual Python code; this is the single most important gap between design and reliable production behaviour</w:t>
      </w:r>
    </w:p>
    <w:p>
      <w:pPr>
        <w:pStyle w:val="FirstParagraph"/>
      </w:pPr>
      <w:r>
        <w:t xml:space="preserve">None of these change the architecture. All three make what is already designed actually trustworthy at scale.</w:t>
      </w:r>
    </w:p>
    <w:bookmarkEnd w:id="30"/>
    <w:bookmarkStart w:id="31" w:name="immediate-roadmap"/>
    <w:p>
      <w:pPr>
        <w:pStyle w:val="Heading2"/>
      </w:pPr>
      <w:r>
        <w:t xml:space="preserve">Immediate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Harden execution — prompt caching, structured outputs,</w:t>
            </w:r>
            <w:r>
              <w:t xml:space="preserve"> </w:t>
            </w:r>
            <w:r>
              <w:rPr>
                <w:rStyle w:val="VerbatimChar"/>
              </w:rPr>
              <w:t xml:space="preserve">reconcile.py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Test reconciliation on a real repo with messy data — inconsistent labels, PRs without linked issues, missing milestones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Then</w:t>
            </w:r>
          </w:p>
        </w:tc>
        <w:tc>
          <w:tcPr/>
          <w:p>
            <w:pPr>
              <w:pStyle w:val="Compact"/>
            </w:pPr>
            <w:r>
              <w:t xml:space="preserve">Package as GitHub Action — triggered on tag push, runs pipeline end-to-end with zero manual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</w:t>
            </w:r>
          </w:p>
        </w:tc>
        <w:tc>
          <w:tcPr/>
          <w:p>
            <w:pPr>
              <w:pStyle w:val="Compact"/>
            </w:pPr>
            <w:r>
              <w:t xml:space="preserve">MCP Server + multi-output pipeline — expose pipeline phases as callable tools; extend evidence model to generate features pages and API changelogs alongside release notes</w:t>
            </w:r>
          </w:p>
        </w:tc>
      </w:tr>
    </w:tbl>
    <w:bookmarkEnd w:id="31"/>
    <w:bookmarkStart w:id="35" w:name="roadmap-diagram"/>
    <w:p>
      <w:pPr>
        <w:pStyle w:val="Heading2"/>
      </w:pPr>
      <w:r>
        <w:t xml:space="preserve">Roadmap Diagram</w:t>
      </w:r>
    </w:p>
    <w:p>
      <w:pPr>
        <w:pStyle w:val="CaptionedFigure"/>
      </w:pPr>
      <w:r>
        <w:drawing>
          <wp:inline>
            <wp:extent cx="5334000" cy="2625328"/>
            <wp:effectExtent b="0" l="0" r="0" t="0"/>
            <wp:docPr descr="Roadmap" title="" id="33" name="Picture"/>
            <a:graphic>
              <a:graphicData uri="http://schemas.openxmlformats.org/drawingml/2006/picture">
                <pic:pic>
                  <pic:nvPicPr>
                    <pic:cNvPr descr="docs/pitch/diagram-roadmap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Roadmap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svg" /><Relationship Type="http://schemas.openxmlformats.org/officeDocument/2006/relationships/image" Id="rId14" Target="media/rId14.svg" /><Relationship Type="http://schemas.openxmlformats.org/officeDocument/2006/relationships/image" Id="rId18" Target="media/rId18.svg" /><Relationship Type="http://schemas.openxmlformats.org/officeDocument/2006/relationships/image" Id="rId32" Target="media/rId3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 Automation Framework</dc:title>
  <dc:creator>intuiract</dc:creator>
  <cp:keywords/>
  <dcterms:created xsi:type="dcterms:W3CDTF">2026-06-15T10:36:39Z</dcterms:created>
  <dcterms:modified xsi:type="dcterms:W3CDTF">2026-06-15T10:36:39Z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Standards-first documentation, built for reliable release publishing</vt:lpwstr>
  </property>
</Properties>
</file>