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>BNSF Acquisition by Berkshire Hathaway</w:t>
      </w:r>
    </w:p>
    <w:p>
      <w:r>
        <w:t>Implied Equity Risk Premium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>4.36%</w:t>
      </w:r>
    </w:p>
    <w:p>
      <w:r>
        <w:t>Yield on the 10-Year US Treasury on December 31</w:t>
      </w:r>
      <w:r>
        <w:rPr>
          <w:vertAlign w:val="superscript"/>
        </w:rPr>
        <w:t>st</w:t>
      </w:r>
      <w:r>
        <w:t>, 2009</w:t>
      </w:r>
      <w:r>
        <w:tab/>
      </w:r>
      <w:r>
        <w:tab/>
      </w:r>
      <w:r>
        <w:t>3.26%</w:t>
      </w:r>
    </w:p>
    <w:p>
      <w:r>
        <w:t>BNSF Beta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1.25</w:t>
      </w:r>
      <w:r>
        <w:tab/>
      </w:r>
      <w:r>
        <w:tab/>
      </w:r>
      <w:r>
        <w:tab/>
      </w:r>
      <w:r>
        <w:tab/>
      </w:r>
    </w:p>
    <w:p>
      <w:pPr>
        <w:numPr>
          <w:ilvl w:val="0"/>
          <w:numId w:val="1"/>
        </w:numPr>
      </w:pPr>
      <w:r>
        <w:t>Year Annual Average Expected Cash Flow Rate</w:t>
      </w:r>
      <w:r>
        <w:tab/>
      </w:r>
      <w:r>
        <w:tab/>
      </w:r>
      <w:r>
        <w:tab/>
      </w:r>
      <w:r>
        <w:tab/>
      </w:r>
      <w:r>
        <w:t>1</w:t>
      </w:r>
      <w:r>
        <w:rPr>
          <w:rFonts w:hint="default"/>
          <w:lang w:val="en-US"/>
        </w:rPr>
        <w:t>4.4</w:t>
      </w:r>
      <w:r>
        <w:t>%</w:t>
      </w:r>
    </w:p>
    <w:p>
      <w:r>
        <w:t>Expected Constant Growth Rate after 2014</w:t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4.25</w:t>
      </w:r>
      <w:r>
        <w:t>%</w:t>
      </w:r>
    </w:p>
    <w:p>
      <w:r>
        <w:t>Yield-to-Maturity on BNSF Long-Term Debt</w:t>
      </w:r>
      <w:r>
        <w:tab/>
      </w:r>
      <w:r>
        <w:tab/>
      </w:r>
      <w:r>
        <w:tab/>
      </w:r>
      <w:r>
        <w:tab/>
      </w:r>
      <w:r>
        <w:t>6.2%</w:t>
      </w:r>
    </w:p>
    <w:p>
      <w:r>
        <w:t>Total Interest-Bearing Debt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</w:t>
      </w:r>
      <w:r>
        <w:rPr>
          <w:rFonts w:hint="default"/>
          <w:lang w:val="en-US"/>
        </w:rPr>
        <w:t>10</w:t>
      </w:r>
      <w:r>
        <w:t xml:space="preserve"> Billion</w:t>
      </w:r>
    </w:p>
    <w:p>
      <w:r>
        <w:t>Market Capitalization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$</w:t>
      </w:r>
      <w:r>
        <w:rPr>
          <w:rFonts w:hint="default"/>
          <w:lang w:val="en-US"/>
        </w:rPr>
        <w:t xml:space="preserve">26.9 </w:t>
      </w:r>
      <w:r>
        <w:t>Billion</w:t>
      </w:r>
    </w:p>
    <w:p>
      <w:r>
        <w:t>BNSF Estimated Effective Tax Rate</w:t>
      </w:r>
      <w:r>
        <w:tab/>
      </w:r>
      <w:r>
        <w:tab/>
      </w:r>
      <w:r>
        <w:tab/>
      </w:r>
      <w:r>
        <w:tab/>
      </w:r>
      <w:r>
        <w:tab/>
      </w:r>
      <w:r>
        <w:t>35%</w:t>
      </w:r>
    </w:p>
    <w:p>
      <w:r>
        <w:t>BRK took on an additional $8</w:t>
      </w:r>
      <w:r>
        <w:rPr>
          <w:rFonts w:hint="default"/>
          <w:lang w:val="en-US"/>
        </w:rPr>
        <w:t xml:space="preserve"> billion</w:t>
      </w:r>
      <w:r>
        <w:t xml:space="preserve"> in debt to pay for the BNSF purchase. </w:t>
      </w:r>
    </w:p>
    <w:p>
      <w:pPr>
        <w:rPr>
          <w:rFonts w:hint="default"/>
          <w:lang w:val="en-US"/>
        </w:rPr>
      </w:pPr>
      <w:r>
        <w:t>Weight of Equity for BNSF Acquisition</w:t>
      </w:r>
      <w:r>
        <w:tab/>
      </w:r>
      <w:r>
        <w:tab/>
      </w:r>
      <w:r>
        <w:tab/>
      </w:r>
      <w:r>
        <w:tab/>
      </w:r>
      <w:r>
        <w:tab/>
      </w:r>
      <w:r>
        <w:t>.</w:t>
      </w:r>
      <w:r>
        <w:rPr>
          <w:rFonts w:hint="default"/>
          <w:lang w:val="en-US"/>
        </w:rPr>
        <w:t>76</w:t>
      </w:r>
    </w:p>
    <w:p>
      <w:pPr>
        <w:rPr>
          <w:rFonts w:hint="default"/>
          <w:lang w:val="en-US"/>
        </w:rPr>
      </w:pPr>
      <w:r>
        <w:t>Weight of Debt for BNSF Acquisition</w:t>
      </w:r>
      <w:r>
        <w:tab/>
      </w:r>
      <w:r>
        <w:tab/>
      </w:r>
      <w:r>
        <w:tab/>
      </w:r>
      <w:r>
        <w:tab/>
      </w:r>
      <w:r>
        <w:tab/>
      </w:r>
      <w:r>
        <w:t>.</w:t>
      </w:r>
      <w:r>
        <w:rPr>
          <w:rFonts w:hint="default"/>
          <w:lang w:val="en-US"/>
        </w:rPr>
        <w:t>24</w:t>
      </w:r>
    </w:p>
    <w:p>
      <w:r>
        <w:t>Yield-to-Maturity on BRK Long-term Debt</w:t>
      </w:r>
      <w:r>
        <w:tab/>
      </w:r>
      <w:r>
        <w:tab/>
      </w:r>
      <w:r>
        <w:tab/>
      </w:r>
      <w:r>
        <w:tab/>
      </w:r>
      <w:r>
        <w:t>5.75%</w:t>
      </w:r>
    </w:p>
    <w:p>
      <w:r>
        <w:t>BRK Estimated Effective Tax Rate</w:t>
      </w:r>
      <w:r>
        <w:tab/>
      </w:r>
      <w:r>
        <w:tab/>
      </w:r>
      <w:r>
        <w:tab/>
      </w:r>
      <w:r>
        <w:tab/>
      </w:r>
      <w:r>
        <w:tab/>
      </w:r>
      <w:r>
        <w:t>30%</w:t>
      </w:r>
    </w:p>
    <w:p>
      <w:r>
        <w:t xml:space="preserve">BNSF did not have a material amount of non-operating assets. </w:t>
      </w:r>
    </w:p>
    <w:p>
      <w:r>
        <w:t>BRK inherited BNSF’s debt when it was purchased.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D8359"/>
    <w:multiLevelType w:val="singleLevel"/>
    <w:tmpl w:val="BFDD8359"/>
    <w:lvl w:ilvl="0" w:tentative="0">
      <w:start w:val="5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0D"/>
    <w:rsid w:val="0023380D"/>
    <w:rsid w:val="002E7C18"/>
    <w:rsid w:val="008D59B6"/>
    <w:rsid w:val="00932666"/>
    <w:rsid w:val="00B81AD7"/>
    <w:rsid w:val="00DB6E63"/>
    <w:rsid w:val="00F62A19"/>
    <w:rsid w:val="46CF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1377</TotalTime>
  <ScaleCrop>false</ScaleCrop>
  <LinksUpToDate>false</LinksUpToDate>
  <CharactersWithSpaces>784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2023-04-23T17:46:00Z</dcterms:created>
  <dc:creator>Shane Vandalsem</dc:creator>
  <cp:lastModifiedBy>Shane Van Dalsem</cp:lastModifiedBy>
  <dcterms:modified xsi:type="dcterms:W3CDTF">2024-04-20T16:51:55Z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AA200E364B0A469B8B454F7C9A7A5153_13</vt:lpwstr>
  </property>
</Properties>
</file>