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24.jpg" ContentType="image/jpeg"/>
  <Override PartName="/word/media/rId7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33.jpg" ContentType="image/jpeg"/>
  <Override PartName="/word/media/rId27.jpg" ContentType="image/jpeg"/>
  <Override PartName="/word/media/rId36.jpg" ContentType="image/jpeg"/>
  <Override PartName="/word/media/rId30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Андреева</w:t>
      </w:r>
      <w:r>
        <w:t xml:space="preserve"> </w:t>
      </w:r>
      <w:r>
        <w:t xml:space="preserve">Софья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78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pStyle w:val="FirstParagraph"/>
      </w:pPr>
      <w:r>
        <w:t xml:space="preserve">Скачаем образ ISO проведем настройки виртуальной машины, создадим виртуальный жесткий диск (рис. fig. 1),(рис. fig. 2),(рис. fig. 3),(рис. fig. 4).</w:t>
      </w:r>
    </w:p>
    <w:p>
      <w:pPr>
        <w:pStyle w:val="CaptionedFigure"/>
      </w:pPr>
      <w:r>
        <w:drawing>
          <wp:inline>
            <wp:extent cx="3733800" cy="2059424"/>
            <wp:effectExtent b="0" l="0" r="0" t="0"/>
            <wp:docPr descr="образ ISO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9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образ ISO</w:t>
      </w:r>
    </w:p>
    <w:p>
      <w:pPr>
        <w:pStyle w:val="CaptionedFigure"/>
      </w:pPr>
      <w:r>
        <w:drawing>
          <wp:inline>
            <wp:extent cx="3733800" cy="2290226"/>
            <wp:effectExtent b="0" l="0" r="0" t="0"/>
            <wp:docPr descr="настройки виртуальной машины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0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настройки виртуальной машины</w:t>
      </w:r>
    </w:p>
    <w:p>
      <w:pPr>
        <w:pStyle w:val="CaptionedFigure"/>
      </w:pPr>
      <w:r>
        <w:drawing>
          <wp:inline>
            <wp:extent cx="3733800" cy="1938771"/>
            <wp:effectExtent b="0" l="0" r="0" t="0"/>
            <wp:docPr descr="настройки виртуальной машины" title="" id="28" name="Picture"/>
            <a:graphic>
              <a:graphicData uri="http://schemas.openxmlformats.org/drawingml/2006/picture">
                <pic:pic>
                  <pic:nvPicPr>
                    <pic:cNvPr descr="image/4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8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настройки виртуальной машины</w:t>
      </w:r>
    </w:p>
    <w:p>
      <w:pPr>
        <w:pStyle w:val="CaptionedFigure"/>
      </w:pPr>
      <w:r>
        <w:drawing>
          <wp:inline>
            <wp:extent cx="3733800" cy="1791068"/>
            <wp:effectExtent b="0" l="0" r="0" t="0"/>
            <wp:docPr descr="виртуальный жесткий диск" title="" id="31" name="Picture"/>
            <a:graphic>
              <a:graphicData uri="http://schemas.openxmlformats.org/drawingml/2006/picture">
                <pic:pic>
                  <pic:nvPicPr>
                    <pic:cNvPr descr="image/6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виртуальный жесткий диск</w:t>
      </w:r>
    </w:p>
    <w:p>
      <w:pPr>
        <w:pStyle w:val="BodyText"/>
      </w:pPr>
      <w:r>
        <w:t xml:space="preserve">После создания виртуальной машины, вынимаем диск и настраиваем дисплей (рис. fig. 5), (рис. fig. 6).</w:t>
      </w:r>
    </w:p>
    <w:p>
      <w:pPr>
        <w:pStyle w:val="CaptionedFigure"/>
      </w:pPr>
      <w:r>
        <w:drawing>
          <wp:inline>
            <wp:extent cx="3733800" cy="2500589"/>
            <wp:effectExtent b="0" l="0" r="0" t="0"/>
            <wp:docPr descr="настраиваем дисплей" title="" id="34" name="Picture"/>
            <a:graphic>
              <a:graphicData uri="http://schemas.openxmlformats.org/drawingml/2006/picture">
                <pic:pic>
                  <pic:nvPicPr>
                    <pic:cNvPr descr="image/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0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настраиваем дисплей</w:t>
      </w:r>
    </w:p>
    <w:p>
      <w:pPr>
        <w:pStyle w:val="CaptionedFigure"/>
      </w:pPr>
      <w:r>
        <w:drawing>
          <wp:inline>
            <wp:extent cx="3733800" cy="1872734"/>
            <wp:effectExtent b="0" l="0" r="0" t="0"/>
            <wp:docPr descr="вынимаем диск" title="" id="37" name="Picture"/>
            <a:graphic>
              <a:graphicData uri="http://schemas.openxmlformats.org/drawingml/2006/picture">
                <pic:pic>
                  <pic:nvPicPr>
                    <pic:cNvPr descr="image/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вынимаем диск</w:t>
      </w:r>
    </w:p>
    <w:p>
      <w:pPr>
        <w:pStyle w:val="BodyText"/>
      </w:pPr>
      <w:r>
        <w:t xml:space="preserve">Обновляем все пакеты dnf -y update (рис. fig. 7).</w:t>
      </w:r>
    </w:p>
    <w:p>
      <w:pPr>
        <w:pStyle w:val="CaptionedFigure"/>
      </w:pPr>
      <w:r>
        <w:drawing>
          <wp:inline>
            <wp:extent cx="3733800" cy="2632629"/>
            <wp:effectExtent b="0" l="0" r="0" t="0"/>
            <wp:docPr descr="Обновляем все пакеты" title="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2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Обновляем все пакеты</w:t>
      </w:r>
    </w:p>
    <w:p>
      <w:pPr>
        <w:pStyle w:val="BodyText"/>
      </w:pPr>
      <w:r>
        <w:t xml:space="preserve">Установим программы для удобства работы в консоли. Автоматическое обновление я не установила, так как не вижу в нем необходимости. (рис. fig. 8).</w:t>
      </w:r>
    </w:p>
    <w:p>
      <w:pPr>
        <w:pStyle w:val="CaptionedFigure"/>
      </w:pPr>
      <w:r>
        <w:drawing>
          <wp:inline>
            <wp:extent cx="3733800" cy="2646510"/>
            <wp:effectExtent b="0" l="0" r="0" t="0"/>
            <wp:docPr descr="Установим программы для удобства работы в консоли." title="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Установим программы для удобства работы в консоли.</w:t>
      </w:r>
    </w:p>
    <w:p>
      <w:pPr>
        <w:pStyle w:val="BodyText"/>
      </w:pPr>
      <w:r>
        <w:t xml:space="preserve">Отключаем SELinux.Меняем значения в файле /etc/selinux/config.Перегружаем виртуальную машину(рис.@fig:009).</w:t>
      </w:r>
    </w:p>
    <w:p>
      <w:pPr>
        <w:pStyle w:val="CaptionedFigure"/>
      </w:pPr>
      <w:r>
        <w:drawing>
          <wp:inline>
            <wp:extent cx="3733800" cy="2678897"/>
            <wp:effectExtent b="0" l="0" r="0" t="0"/>
            <wp:docPr descr="Отключаем SELinux" title="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Отключаем SELinux</w:t>
      </w:r>
    </w:p>
    <w:p>
      <w:pPr>
        <w:pStyle w:val="BodyText"/>
      </w:pPr>
      <w:r>
        <w:t xml:space="preserve">Установим драйвера для VirtualBox. Устанавливаем средства разработки. (рис. fig. 10).</w:t>
      </w:r>
    </w:p>
    <w:p>
      <w:pPr>
        <w:pStyle w:val="CaptionedFigure"/>
      </w:pPr>
      <w:r>
        <w:drawing>
          <wp:inline>
            <wp:extent cx="3733800" cy="1509408"/>
            <wp:effectExtent b="0" l="0" r="0" t="0"/>
            <wp:docPr descr="Устанавливаем средства разработки" title="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9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Устанавливаем средства разработки</w:t>
      </w:r>
    </w:p>
    <w:p>
      <w:pPr>
        <w:pStyle w:val="BodyText"/>
      </w:pPr>
      <w:r>
        <w:t xml:space="preserve">Установим пакет DKMS (рис. fig. 11).</w:t>
      </w:r>
    </w:p>
    <w:p>
      <w:pPr>
        <w:pStyle w:val="CaptionedFigure"/>
      </w:pPr>
      <w:r>
        <w:drawing>
          <wp:inline>
            <wp:extent cx="3733800" cy="2031150"/>
            <wp:effectExtent b="0" l="0" r="0" t="0"/>
            <wp:docPr descr="Установим пакет DKMS" title="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Установим пакет DKMS</w:t>
      </w:r>
    </w:p>
    <w:p>
      <w:pPr>
        <w:pStyle w:val="BodyText"/>
      </w:pPr>
      <w:r>
        <w:t xml:space="preserve">В меню виртуальной машины подключим образ диска дополнений гостевой ОС. Подмонтируем диск. Установим драйвера и перезагрузим машину. (рис. fig. 12).</w:t>
      </w:r>
    </w:p>
    <w:p>
      <w:pPr>
        <w:pStyle w:val="CaptionedFigure"/>
      </w:pPr>
      <w:r>
        <w:drawing>
          <wp:inline>
            <wp:extent cx="3733800" cy="2172034"/>
            <wp:effectExtent b="0" l="0" r="0" t="0"/>
            <wp:docPr descr="Установим драйвера для VirtualBox" title="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2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Установим драйвера для VirtualBox</w:t>
      </w:r>
    </w:p>
    <w:p>
      <w:pPr>
        <w:pStyle w:val="BodyText"/>
      </w:pPr>
      <w:r>
        <w:t xml:space="preserve">Настроим раскладки клавиатуры.Создадим конфигурационный файл (рис. fig. 13).</w:t>
      </w:r>
    </w:p>
    <w:p>
      <w:pPr>
        <w:pStyle w:val="CaptionedFigure"/>
      </w:pPr>
      <w:r>
        <w:drawing>
          <wp:inline>
            <wp:extent cx="3733800" cy="602029"/>
            <wp:effectExtent b="0" l="0" r="0" t="0"/>
            <wp:docPr descr="Создадим конфигурационный файл" title="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Создадим конфигурационный файл</w:t>
      </w:r>
    </w:p>
    <w:p>
      <w:pPr>
        <w:pStyle w:val="BodyText"/>
      </w:pPr>
      <w:r>
        <w:t xml:space="preserve">Отредактируем конфигурационный файл ~/.config/sway/config.d/95-system-keyboard-config.conf.(рис. fig. 14)</w:t>
      </w:r>
    </w:p>
    <w:p>
      <w:pPr>
        <w:pStyle w:val="CaptionedFigure"/>
      </w:pPr>
      <w:r>
        <w:drawing>
          <wp:inline>
            <wp:extent cx="3733800" cy="388648"/>
            <wp:effectExtent b="0" l="0" r="0" t="0"/>
            <wp:docPr descr="Отредактируем конфигурационный файл" title="" id="61" name="Picture"/>
            <a:graphic>
              <a:graphicData uri="http://schemas.openxmlformats.org/drawingml/2006/picture">
                <pic:pic>
                  <pic:nvPicPr>
                    <pic:cNvPr descr="image/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Отредактируем конфигурационный файл</w:t>
      </w:r>
    </w:p>
    <w:p>
      <w:pPr>
        <w:pStyle w:val="BodyText"/>
      </w:pPr>
      <w:r>
        <w:t xml:space="preserve">Отредактируем конфигурационный файл /etc/X11/xorg.conf.d/00-keyboard.conf.Перезагрузим машину (рис. fig. </w:t>
      </w:r>
      <w:r>
        <w:rPr>
          <w:bCs/>
          <w:b/>
        </w:rPr>
        <w:t xml:space="preserve">¿fig:015?</w:t>
      </w:r>
      <w:r>
        <w:t xml:space="preserve">).</w:t>
      </w:r>
    </w:p>
    <w:p>
      <w:pPr>
        <w:pStyle w:val="BodyText"/>
      </w:pPr>
      <w:r>
        <w:t xml:space="preserve">[Отредактируем конфигурационный файл]](image/15.jpg){#fig:015 width=70%}</w:t>
      </w:r>
    </w:p>
    <w:p>
      <w:pPr>
        <w:pStyle w:val="BodyText"/>
      </w:pPr>
      <w:r>
        <w:t xml:space="preserve">Подключение общей папки.Внутри виртуальной машины добавим своего пользователя в группу vboxsf, а затем в хостовой системе подключим разделяемую папку. Перезагрузим машину (рис. fig. 15).</w:t>
      </w:r>
    </w:p>
    <w:p>
      <w:pPr>
        <w:pStyle w:val="CaptionedFigure"/>
      </w:pPr>
      <w:r>
        <w:drawing>
          <wp:inline>
            <wp:extent cx="3733800" cy="1435693"/>
            <wp:effectExtent b="0" l="0" r="0" t="0"/>
            <wp:docPr descr="Подключение общей папки" title="" id="64" name="Picture"/>
            <a:graphic>
              <a:graphicData uri="http://schemas.openxmlformats.org/drawingml/2006/picture">
                <pic:pic>
                  <pic:nvPicPr>
                    <pic:cNvPr descr="image/16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Подключение общей папки</w:t>
      </w:r>
    </w:p>
    <w:p>
      <w:pPr>
        <w:pStyle w:val="BodyText"/>
      </w:pPr>
      <w:r>
        <w:t xml:space="preserve">Установка программного обеспечения для создания документации. Установим pandoc с помощью менеджера пакетов, а затем установим пакет pandoc-crossref той же версии (рис. fig. 16)</w:t>
      </w:r>
    </w:p>
    <w:p>
      <w:pPr>
        <w:pStyle w:val="CaptionedFigure"/>
      </w:pPr>
      <w:r>
        <w:drawing>
          <wp:inline>
            <wp:extent cx="3733800" cy="1230719"/>
            <wp:effectExtent b="0" l="0" r="0" t="0"/>
            <wp:docPr descr="Установка pandoc" title="" id="67" name="Picture"/>
            <a:graphic>
              <a:graphicData uri="http://schemas.openxmlformats.org/drawingml/2006/picture">
                <pic:pic>
                  <pic:nvPicPr>
                    <pic:cNvPr descr="image/17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pandoc</w:t>
      </w:r>
    </w:p>
    <w:p>
      <w:pPr>
        <w:pStyle w:val="BodyText"/>
      </w:pPr>
      <w:r>
        <w:t xml:space="preserve">Распакуем загрузки и поместим их в каталог /usr/local/bin (рис. fig. 17).</w:t>
      </w:r>
    </w:p>
    <w:p>
      <w:pPr>
        <w:pStyle w:val="CaptionedFigure"/>
      </w:pPr>
      <w:r>
        <w:drawing>
          <wp:inline>
            <wp:extent cx="3733800" cy="1504188"/>
            <wp:effectExtent b="0" l="0" r="0" t="0"/>
            <wp:docPr descr="Распакуем загрузки" title="" id="70" name="Picture"/>
            <a:graphic>
              <a:graphicData uri="http://schemas.openxmlformats.org/drawingml/2006/picture">
                <pic:pic>
                  <pic:nvPicPr>
                    <pic:cNvPr descr="image/18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4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Распакуем загрузки</w:t>
      </w:r>
    </w:p>
    <w:p>
      <w:pPr>
        <w:pStyle w:val="BodyText"/>
      </w:pPr>
      <w:r>
        <w:t xml:space="preserve">Установим дистрибутив TeXlive (рис. fig. 18), (рис. fig. 19).</w:t>
      </w:r>
    </w:p>
    <w:p>
      <w:pPr>
        <w:pStyle w:val="CaptionedFigure"/>
      </w:pPr>
      <w:r>
        <w:drawing>
          <wp:inline>
            <wp:extent cx="3733800" cy="600735"/>
            <wp:effectExtent b="0" l="0" r="0" t="0"/>
            <wp:docPr descr="Установим дистрибутив TeXlive" title="" id="73" name="Picture"/>
            <a:graphic>
              <a:graphicData uri="http://schemas.openxmlformats.org/drawingml/2006/picture">
                <pic:pic>
                  <pic:nvPicPr>
                    <pic:cNvPr descr="image/19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0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Установим дистрибутив TeXlive</w:t>
      </w:r>
    </w:p>
    <w:p>
      <w:pPr>
        <w:pStyle w:val="CaptionedFigure"/>
      </w:pPr>
      <w:r>
        <w:drawing>
          <wp:inline>
            <wp:extent cx="3733800" cy="1295494"/>
            <wp:effectExtent b="0" l="0" r="0" t="0"/>
            <wp:docPr descr="Установим дистрибутив TeXlive" title="" id="76" name="Picture"/>
            <a:graphic>
              <a:graphicData uri="http://schemas.openxmlformats.org/drawingml/2006/picture">
                <pic:pic>
                  <pic:nvPicPr>
                    <pic:cNvPr descr="image/20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Установим дистрибутив TeXlive</w:t>
      </w:r>
    </w:p>
    <w:bookmarkEnd w:id="78"/>
    <w:bookmarkStart w:id="94" w:name="задание-для-самостоятельной-работы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работы.</w:t>
      </w:r>
    </w:p>
    <w:p>
      <w:pPr>
        <w:pStyle w:val="FirstParagraph"/>
      </w:pPr>
      <w:r>
        <w:t xml:space="preserve">В окне терминала проанализируем последовательность загрузки системы, выполнив команду dmesg.(рис. fig. 20).</w:t>
      </w:r>
    </w:p>
    <w:p>
      <w:pPr>
        <w:pStyle w:val="CaptionedFigure"/>
      </w:pPr>
      <w:r>
        <w:drawing>
          <wp:inline>
            <wp:extent cx="3733800" cy="2035776"/>
            <wp:effectExtent b="0" l="0" r="0" t="0"/>
            <wp:docPr descr="командa dmesg." title="" id="80" name="Picture"/>
            <a:graphic>
              <a:graphicData uri="http://schemas.openxmlformats.org/drawingml/2006/picture">
                <pic:pic>
                  <pic:nvPicPr>
                    <pic:cNvPr descr="image/21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командa dmesg.</w:t>
      </w:r>
    </w:p>
    <w:p>
      <w:pPr>
        <w:pStyle w:val="BodyText"/>
      </w:pPr>
      <w:r>
        <w:t xml:space="preserve">Получим следующую информацию: версия ядра Linux, частота процессора, модель процессора. (рис. fig. 21).</w:t>
      </w:r>
    </w:p>
    <w:p>
      <w:pPr>
        <w:pStyle w:val="CaptionedFigure"/>
      </w:pPr>
      <w:r>
        <w:drawing>
          <wp:inline>
            <wp:extent cx="3733800" cy="698641"/>
            <wp:effectExtent b="0" l="0" r="0" t="0"/>
            <wp:docPr descr="Получeниe информации" title="" id="83" name="Picture"/>
            <a:graphic>
              <a:graphicData uri="http://schemas.openxmlformats.org/drawingml/2006/picture">
                <pic:pic>
                  <pic:nvPicPr>
                    <pic:cNvPr descr="image/22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8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Получeниe информации</w:t>
      </w:r>
    </w:p>
    <w:p>
      <w:pPr>
        <w:pStyle w:val="BodyText"/>
      </w:pPr>
      <w:r>
        <w:t xml:space="preserve">Объём доступной оперативной памяти (рис. fig. 22).</w:t>
      </w:r>
    </w:p>
    <w:p>
      <w:pPr>
        <w:pStyle w:val="CaptionedFigure"/>
      </w:pPr>
      <w:r>
        <w:drawing>
          <wp:inline>
            <wp:extent cx="3733800" cy="342380"/>
            <wp:effectExtent b="0" l="0" r="0" t="0"/>
            <wp:docPr descr="Получeниe информации" title="" id="86" name="Picture"/>
            <a:graphic>
              <a:graphicData uri="http://schemas.openxmlformats.org/drawingml/2006/picture">
                <pic:pic>
                  <pic:nvPicPr>
                    <pic:cNvPr descr="image/23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Получeниe информации</w:t>
      </w:r>
    </w:p>
    <w:p>
      <w:pPr>
        <w:pStyle w:val="BodyText"/>
      </w:pPr>
      <w:r>
        <w:t xml:space="preserve">Тип обнаруженного гипервизора и тип файловой системы корневого раздела. (рис. fig. 23).</w:t>
      </w:r>
    </w:p>
    <w:p>
      <w:pPr>
        <w:pStyle w:val="CaptionedFigure"/>
      </w:pPr>
      <w:r>
        <w:drawing>
          <wp:inline>
            <wp:extent cx="3733800" cy="411782"/>
            <wp:effectExtent b="0" l="0" r="0" t="0"/>
            <wp:docPr descr="Получeниe информации" title="" id="89" name="Picture"/>
            <a:graphic>
              <a:graphicData uri="http://schemas.openxmlformats.org/drawingml/2006/picture">
                <pic:pic>
                  <pic:nvPicPr>
                    <pic:cNvPr descr="image/24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Получeниe информации</w:t>
      </w:r>
    </w:p>
    <w:p>
      <w:pPr>
        <w:pStyle w:val="BodyText"/>
      </w:pPr>
      <w:r>
        <w:t xml:space="preserve">Последовательность монтирования файловых систем (рис. fig. 24).</w:t>
      </w:r>
    </w:p>
    <w:p>
      <w:pPr>
        <w:pStyle w:val="CaptionedFigure"/>
      </w:pPr>
      <w:r>
        <w:drawing>
          <wp:inline>
            <wp:extent cx="3733800" cy="3791404"/>
            <wp:effectExtent b="0" l="0" r="0" t="0"/>
            <wp:docPr descr="Последовательность монтирования файловых систем." title="" id="92" name="Picture"/>
            <a:graphic>
              <a:graphicData uri="http://schemas.openxmlformats.org/drawingml/2006/picture">
                <pic:pic>
                  <pic:nvPicPr>
                    <pic:cNvPr descr="image/25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1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Последовательность монтирования файловых систем.</w:t>
      </w:r>
    </w:p>
    <w:bookmarkEnd w:id="94"/>
    <w:bookmarkStart w:id="95" w:name="контрольные-вопросы.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вопросы.</w:t>
      </w:r>
    </w:p>
    <w:p>
      <w:pPr>
        <w:numPr>
          <w:ilvl w:val="0"/>
          <w:numId w:val="1001"/>
        </w:numPr>
        <w:pStyle w:val="Compact"/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Учетная запись пользователя содержит информацию по авторизации - учётные данные. Это индетификатор для подключения к системе. То есть, это:</w:t>
      </w:r>
    </w:p>
    <w:p>
      <w:pPr>
        <w:numPr>
          <w:ilvl w:val="0"/>
          <w:numId w:val="1002"/>
        </w:numPr>
        <w:pStyle w:val="Compact"/>
      </w:pPr>
      <w:r>
        <w:t xml:space="preserve">Системное имя - должно быть уникальным, содержит только латинские знаки.</w:t>
      </w:r>
    </w:p>
    <w:p>
      <w:pPr>
        <w:numPr>
          <w:ilvl w:val="0"/>
          <w:numId w:val="1002"/>
        </w:numPr>
        <w:pStyle w:val="Compact"/>
      </w:pPr>
      <w:r>
        <w:t xml:space="preserve">Уникальных идентификатор пользователя в системе, содержит число.</w:t>
      </w:r>
    </w:p>
    <w:p>
      <w:pPr>
        <w:numPr>
          <w:ilvl w:val="0"/>
          <w:numId w:val="1002"/>
        </w:numPr>
        <w:pStyle w:val="Compact"/>
      </w:pPr>
      <w:r>
        <w:t xml:space="preserve">Полное имя - ФИО пользователя.</w:t>
      </w:r>
    </w:p>
    <w:p>
      <w:pPr>
        <w:numPr>
          <w:ilvl w:val="0"/>
          <w:numId w:val="1003"/>
        </w:numPr>
        <w:pStyle w:val="Compact"/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4"/>
        </w:numPr>
        <w:pStyle w:val="Compact"/>
      </w:pPr>
      <w:r>
        <w:t xml:space="preserve">для получения справки по команде = —help;</w:t>
      </w:r>
    </w:p>
    <w:p>
      <w:pPr>
        <w:numPr>
          <w:ilvl w:val="0"/>
          <w:numId w:val="1004"/>
        </w:numPr>
        <w:pStyle w:val="Compact"/>
      </w:pPr>
      <w:r>
        <w:t xml:space="preserve">для перемещения по файловой системе = cd;</w:t>
      </w:r>
    </w:p>
    <w:p>
      <w:pPr>
        <w:numPr>
          <w:ilvl w:val="0"/>
          <w:numId w:val="1004"/>
        </w:numPr>
        <w:pStyle w:val="Compact"/>
      </w:pPr>
      <w:r>
        <w:t xml:space="preserve">для просмотра содержимого каталога = ls;</w:t>
      </w:r>
    </w:p>
    <w:p>
      <w:pPr>
        <w:numPr>
          <w:ilvl w:val="0"/>
          <w:numId w:val="1004"/>
        </w:numPr>
        <w:pStyle w:val="Compact"/>
      </w:pPr>
      <w:r>
        <w:t xml:space="preserve">для определения объёма каталога = du + имя каталога;</w:t>
      </w:r>
    </w:p>
    <w:p>
      <w:pPr>
        <w:numPr>
          <w:ilvl w:val="0"/>
          <w:numId w:val="1004"/>
        </w:numPr>
        <w:pStyle w:val="Compact"/>
      </w:pPr>
      <w:r>
        <w:t xml:space="preserve">для создания / удаления каталогов = mkdir/rmdir;</w:t>
      </w:r>
    </w:p>
    <w:p>
      <w:pPr>
        <w:numPr>
          <w:ilvl w:val="0"/>
          <w:numId w:val="1004"/>
        </w:numPr>
        <w:pStyle w:val="Compact"/>
      </w:pPr>
      <w:r>
        <w:t xml:space="preserve">для создания / удаления файлов = touch/rm;</w:t>
      </w:r>
    </w:p>
    <w:p>
      <w:pPr>
        <w:numPr>
          <w:ilvl w:val="0"/>
          <w:numId w:val="1004"/>
        </w:numPr>
        <w:pStyle w:val="Compact"/>
      </w:pPr>
      <w:r>
        <w:t xml:space="preserve">для задания определённых прав на файл / каталог = chmod;</w:t>
      </w:r>
    </w:p>
    <w:p>
      <w:pPr>
        <w:numPr>
          <w:ilvl w:val="0"/>
          <w:numId w:val="1004"/>
        </w:numPr>
        <w:pStyle w:val="Compact"/>
      </w:pPr>
      <w:r>
        <w:t xml:space="preserve">для просмотра истории команд = history;</w:t>
      </w:r>
    </w:p>
    <w:p>
      <w:pPr>
        <w:numPr>
          <w:ilvl w:val="0"/>
          <w:numId w:val="1005"/>
        </w:numPr>
        <w:pStyle w:val="Compact"/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Это способ хранения, организации и именования данных на различных носителях.</w:t>
      </w:r>
      <w:r>
        <w:t xml:space="preserve"> </w:t>
      </w:r>
      <w:r>
        <w:t xml:space="preserve">Примеры:</w:t>
      </w:r>
    </w:p>
    <w:p>
      <w:pPr>
        <w:numPr>
          <w:ilvl w:val="0"/>
          <w:numId w:val="1006"/>
        </w:numPr>
        <w:pStyle w:val="Compact"/>
      </w:pPr>
      <w:r>
        <w:t xml:space="preserve">FAT32 - файловая система, в которой пространство разделено на три части: область служебных структур, указатели в виде таблиц и область хранения файлов;</w:t>
      </w:r>
    </w:p>
    <w:p>
      <w:pPr>
        <w:numPr>
          <w:ilvl w:val="0"/>
          <w:numId w:val="1006"/>
        </w:numPr>
        <w:pStyle w:val="Compact"/>
      </w:pPr>
      <w:r>
        <w:t xml:space="preserve">ext4 - система, которая используется в основном в ОС на Linux. Журналируемая файловая система, в послдней версии максимальный размер файла - 16Гб.</w:t>
      </w:r>
    </w:p>
    <w:p>
      <w:pPr>
        <w:numPr>
          <w:ilvl w:val="0"/>
          <w:numId w:val="1007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Для этого нужно ввести в терминал команду df - это покажет список всех файловых систем по номерам устройств, размеры и данные о памяти. Но при этом можно посмотреть в свойствах папок все эти данные вручную.</w:t>
      </w:r>
    </w:p>
    <w:p>
      <w:pPr>
        <w:numPr>
          <w:ilvl w:val="0"/>
          <w:numId w:val="1007"/>
        </w:numPr>
      </w:pPr>
      <w:r>
        <w:t xml:space="preserve">Как удалить зависший процесс?</w:t>
      </w:r>
    </w:p>
    <w:p>
      <w:pPr>
        <w:numPr>
          <w:ilvl w:val="0"/>
          <w:numId w:val="1008"/>
        </w:numPr>
        <w:pStyle w:val="Compact"/>
      </w:pPr>
      <w:r>
        <w:t xml:space="preserve">killall - остановит все процессы, которые есть в данный момент.</w:t>
      </w:r>
    </w:p>
    <w:p>
      <w:pPr>
        <w:numPr>
          <w:ilvl w:val="0"/>
          <w:numId w:val="1008"/>
        </w:numPr>
        <w:pStyle w:val="Compact"/>
      </w:pPr>
      <w:r>
        <w:t xml:space="preserve">kill + id-процесса. Это поможет удалить один конкретный процесс. (Чтобы узнать id нужно написать в терминале команду ps).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24" Target="media/rId24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33" Target="media/rId33.jpg" /><Relationship Type="http://schemas.openxmlformats.org/officeDocument/2006/relationships/image" Id="rId27" Target="media/rId27.jpg" /><Relationship Type="http://schemas.openxmlformats.org/officeDocument/2006/relationships/image" Id="rId36" Target="media/rId36.jpg" /><Relationship Type="http://schemas.openxmlformats.org/officeDocument/2006/relationships/image" Id="rId30" Target="media/rId30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Андреева Софья Владимировна</dc:creator>
  <dc:language>ru-RU</dc:language>
  <cp:keywords/>
  <dcterms:created xsi:type="dcterms:W3CDTF">2024-02-19T14:20:51Z</dcterms:created>
  <dcterms:modified xsi:type="dcterms:W3CDTF">2024-02-19T14:20:51Z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">
    <vt:lpwstr>english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options">
    <vt:lpwstr/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PT Serif</vt:lpwstr>
  </property>
  <property fmtid="{D5CDD505-2E9C-101B-9397-08002B2CF9AE}" pid="73" name="romanfontoptions">
    <vt:lpwstr>Ligatures=TeX</vt:lpwstr>
  </property>
  <property fmtid="{D5CDD505-2E9C-101B-9397-08002B2CF9AE}" pid="74" name="sansfont">
    <vt:lpwstr>PT Sans</vt:lpwstr>
  </property>
  <property fmtid="{D5CDD505-2E9C-101B-9397-08002B2CF9AE}" pid="75" name="sansfontoptions">
    <vt:lpwstr>Ligatures=TeX,Scale=MatchLowercase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Операционные системы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