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Андреева</w:t>
      </w:r>
      <w:r>
        <w:t xml:space="preserve"> </w:t>
      </w:r>
      <w:r>
        <w:t xml:space="preserve">Софья</w:t>
      </w:r>
      <w:r>
        <w:t xml:space="preserve"> </w:t>
      </w:r>
      <w:r>
        <w:t xml:space="preserve">Владимировна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Hастроить рабочую среду.</w:t>
      </w:r>
    </w:p>
    <w:bookmarkEnd w:id="20"/>
    <w:bookmarkStart w:id="45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Устанавливаем менеджер паролей pass (рис. fig. 1).</w:t>
      </w:r>
    </w:p>
    <w:p>
      <w:pPr>
        <w:pStyle w:val="CaptionedFigure"/>
      </w:pPr>
      <w:r>
        <w:drawing>
          <wp:inline>
            <wp:extent cx="3733800" cy="2653581"/>
            <wp:effectExtent b="0" l="0" r="0" t="0"/>
            <wp:docPr descr="Устанавливаем менеджер паролей pass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3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Устанавливаем менеджер паролей pass</w:t>
      </w:r>
    </w:p>
    <w:p>
      <w:pPr>
        <w:pStyle w:val="BodyText"/>
      </w:pPr>
      <w:r>
        <w:t xml:space="preserve">Просмотрев список ключей, инициализируем хранилище и создадим структуру git (рис. fig. 2).</w:t>
      </w:r>
    </w:p>
    <w:p>
      <w:pPr>
        <w:pStyle w:val="CaptionedFigure"/>
      </w:pPr>
      <w:r>
        <w:drawing>
          <wp:inline>
            <wp:extent cx="3733800" cy="2054613"/>
            <wp:effectExtent b="0" l="0" r="0" t="0"/>
            <wp:docPr descr="Cоздадим структуру git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54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Cоздадим структуру git</w:t>
      </w:r>
    </w:p>
    <w:p>
      <w:pPr>
        <w:pStyle w:val="BodyText"/>
      </w:pPr>
      <w:r>
        <w:t xml:space="preserve">Предварительно создав репозиторий, задаем адрес репозитория на хостинге и синхронизируем (рис. fig. 3).</w:t>
      </w:r>
    </w:p>
    <w:p>
      <w:pPr>
        <w:pStyle w:val="CaptionedFigure"/>
      </w:pPr>
      <w:r>
        <w:drawing>
          <wp:inline>
            <wp:extent cx="3733800" cy="2394192"/>
            <wp:effectExtent b="0" l="0" r="0" t="0"/>
            <wp:docPr descr="3адаем адрес репозитория на хостинге и синхронизируем" title="" id="28" name="Picture"/>
            <a:graphic>
              <a:graphicData uri="http://schemas.openxmlformats.org/drawingml/2006/picture">
                <pic:pic>
                  <pic:nvPicPr>
                    <pic:cNvPr descr="image/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4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3адаем адрес репозитория на хостинге и синхронизируем</w:t>
      </w:r>
    </w:p>
    <w:p>
      <w:pPr>
        <w:pStyle w:val="BodyText"/>
      </w:pPr>
      <w:r>
        <w:t xml:space="preserve">Настроим интерфейс с браузером. Скачаем browserpass (рис. fig. 4).</w:t>
      </w:r>
    </w:p>
    <w:p>
      <w:pPr>
        <w:pStyle w:val="CaptionedFigure"/>
      </w:pPr>
      <w:r>
        <w:drawing>
          <wp:inline>
            <wp:extent cx="3733800" cy="1641090"/>
            <wp:effectExtent b="0" l="0" r="0" t="0"/>
            <wp:docPr descr="Настроим интерфейс с браузером. Скачаем browserpass" title="" id="31" name="Picture"/>
            <a:graphic>
              <a:graphicData uri="http://schemas.openxmlformats.org/drawingml/2006/picture">
                <pic:pic>
                  <pic:nvPicPr>
                    <pic:cNvPr descr="image/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1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Настроим интерфейс с браузером. Скачаем browserpass</w:t>
      </w:r>
    </w:p>
    <w:p>
      <w:pPr>
        <w:pStyle w:val="BodyText"/>
      </w:pPr>
      <w:r>
        <w:t xml:space="preserve">Добавим новый пароль, отобразим и заменим его (рис. fig. 5).</w:t>
      </w:r>
    </w:p>
    <w:p>
      <w:pPr>
        <w:pStyle w:val="CaptionedFigure"/>
      </w:pPr>
      <w:r>
        <w:drawing>
          <wp:inline>
            <wp:extent cx="3733800" cy="1934705"/>
            <wp:effectExtent b="0" l="0" r="0" t="0"/>
            <wp:docPr descr="Добавим новый пароль, отобразим и заменим его" title="" id="34" name="Picture"/>
            <a:graphic>
              <a:graphicData uri="http://schemas.openxmlformats.org/drawingml/2006/picture">
                <pic:pic>
                  <pic:nvPicPr>
                    <pic:cNvPr descr="image/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Добавим новый пароль, отобразим и заменим его</w:t>
      </w:r>
    </w:p>
    <w:p>
      <w:pPr>
        <w:pStyle w:val="BodyText"/>
      </w:pPr>
      <w:r>
        <w:t xml:space="preserve">Установим дополнительное программное обеспечение и шрифты (рис. fig. 6).</w:t>
      </w:r>
    </w:p>
    <w:p>
      <w:pPr>
        <w:pStyle w:val="CaptionedFigure"/>
      </w:pPr>
      <w:r>
        <w:drawing>
          <wp:inline>
            <wp:extent cx="3733800" cy="2399727"/>
            <wp:effectExtent b="0" l="0" r="0" t="0"/>
            <wp:docPr descr="Установим дополнительное программное обеспечение и шрифты" title="" id="37" name="Picture"/>
            <a:graphic>
              <a:graphicData uri="http://schemas.openxmlformats.org/drawingml/2006/picture">
                <pic:pic>
                  <pic:nvPicPr>
                    <pic:cNvPr descr="image/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Установим дополнительное программное обеспечение и шрифты</w:t>
      </w:r>
    </w:p>
    <w:p>
      <w:pPr>
        <w:pStyle w:val="BodyText"/>
      </w:pPr>
      <w:r>
        <w:t xml:space="preserve">Установим бинарный файл, создадим свой репозиторий для конфигурационных файлов на основе шаблона, подключим репозиторий к своей системе. Проверим, какие изменения внесёт chezmoi в домашний каталог и запустим chezmoi apply (рис. fig. 7).</w:t>
      </w:r>
    </w:p>
    <w:p>
      <w:pPr>
        <w:pStyle w:val="CaptionedFigure"/>
      </w:pPr>
      <w:r>
        <w:drawing>
          <wp:inline>
            <wp:extent cx="3733800" cy="1314478"/>
            <wp:effectExtent b="0" l="0" r="0" t="0"/>
            <wp:docPr descr="Установим бинарный файл,chezmoi apply" title="" id="40" name="Picture"/>
            <a:graphic>
              <a:graphicData uri="http://schemas.openxmlformats.org/drawingml/2006/picture">
                <pic:pic>
                  <pic:nvPicPr>
                    <pic:cNvPr descr="image/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44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Установим бинарный файл,chezmoi apply</w:t>
      </w:r>
    </w:p>
    <w:p>
      <w:pPr>
        <w:pStyle w:val="BodyText"/>
      </w:pPr>
      <w:r>
        <w:t xml:space="preserve">Извлечем последние изменения из репозитория и применим их, подключим автоматическую фиксацию.(рис. fig. 8).</w:t>
      </w:r>
    </w:p>
    <w:p>
      <w:pPr>
        <w:pStyle w:val="CaptionedFigure"/>
      </w:pPr>
      <w:r>
        <w:drawing>
          <wp:inline>
            <wp:extent cx="3733800" cy="1036428"/>
            <wp:effectExtent b="0" l="0" r="0" t="0"/>
            <wp:docPr descr="Извлечем последние изменения из репозитория и применим их" title="" id="43" name="Picture"/>
            <a:graphic>
              <a:graphicData uri="http://schemas.openxmlformats.org/drawingml/2006/picture">
                <pic:pic>
                  <pic:nvPicPr>
                    <pic:cNvPr descr="image/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Извлечем последние изменения из репозитория и применим их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B ходе лабораторной работы я настроила свою рабочую среду.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Андреева Софья Владимировна</dc:creator>
  <dc:language>ru-RU</dc:language>
  <cp:keywords/>
  <dcterms:created xsi:type="dcterms:W3CDTF">2024-03-14T09:22:21Z</dcterms:created>
  <dcterms:modified xsi:type="dcterms:W3CDTF">2024-03-14T09:22:21Z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">
    <vt:lpwstr>english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options">
    <vt:lpwstr/>
  </property>
  <property fmtid="{D5CDD505-2E9C-101B-9397-08002B2CF9AE}" pid="65" name="pairDelim">
    <vt:lpwstr>, </vt:lpwstr>
  </property>
  <property fmtid="{D5CDD505-2E9C-101B-9397-08002B2CF9AE}" pid="66" name="papersize">
    <vt:lpwstr>a4</vt:lpwstr>
  </property>
  <property fmtid="{D5CDD505-2E9C-101B-9397-08002B2CF9AE}" pid="67" name="polyglossia-lang">
    <vt:lpwstr/>
  </property>
  <property fmtid="{D5CDD505-2E9C-101B-9397-08002B2CF9AE}" pid="68" name="polyglossia-otherlangs">
    <vt:lpwstr/>
  </property>
  <property fmtid="{D5CDD505-2E9C-101B-9397-08002B2CF9AE}" pid="69" name="rangeDelim">
    <vt:lpwstr>-</vt:lpwstr>
  </property>
  <property fmtid="{D5CDD505-2E9C-101B-9397-08002B2CF9AE}" pid="70" name="refDelim">
    <vt:lpwstr>, </vt:lpwstr>
  </property>
  <property fmtid="{D5CDD505-2E9C-101B-9397-08002B2CF9AE}" pid="71" name="refIndexTemplate">
    <vt:lpwstr>isuf</vt:lpwstr>
  </property>
  <property fmtid="{D5CDD505-2E9C-101B-9397-08002B2CF9AE}" pid="72" name="romanfont">
    <vt:lpwstr>PT Serif</vt:lpwstr>
  </property>
  <property fmtid="{D5CDD505-2E9C-101B-9397-08002B2CF9AE}" pid="73" name="romanfontoptions">
    <vt:lpwstr>Ligatures=TeX</vt:lpwstr>
  </property>
  <property fmtid="{D5CDD505-2E9C-101B-9397-08002B2CF9AE}" pid="74" name="sansfont">
    <vt:lpwstr>PT Sans</vt:lpwstr>
  </property>
  <property fmtid="{D5CDD505-2E9C-101B-9397-08002B2CF9AE}" pid="75" name="sansfontoptions">
    <vt:lpwstr>Ligatures=TeX,Scale=MatchLowercase</vt:lpwstr>
  </property>
  <property fmtid="{D5CDD505-2E9C-101B-9397-08002B2CF9AE}" pid="76" name="secHeaderDelim">
    <vt:lpwstr> </vt:lpwstr>
  </property>
  <property fmtid="{D5CDD505-2E9C-101B-9397-08002B2CF9AE}" pid="77" name="secHeaderTemplate">
    <vt:lpwstr>isecHeaderDelim[n]t</vt:lpwstr>
  </property>
  <property fmtid="{D5CDD505-2E9C-101B-9397-08002B2CF9AE}" pid="78" name="secLabels">
    <vt:lpwstr>arabic</vt:lpwstr>
  </property>
  <property fmtid="{D5CDD505-2E9C-101B-9397-08002B2CF9AE}" pid="79" name="secPrefix">
    <vt:lpwstr/>
  </property>
  <property fmtid="{D5CDD505-2E9C-101B-9397-08002B2CF9AE}" pid="80" name="secPrefixTemplate">
    <vt:lpwstr>p i</vt:lpwstr>
  </property>
  <property fmtid="{D5CDD505-2E9C-101B-9397-08002B2CF9AE}" pid="81" name="sectionsDepth">
    <vt:lpwstr>0</vt:lpwstr>
  </property>
  <property fmtid="{D5CDD505-2E9C-101B-9397-08002B2CF9AE}" pid="82" name="subfigGrid">
    <vt:lpwstr>False</vt:lpwstr>
  </property>
  <property fmtid="{D5CDD505-2E9C-101B-9397-08002B2CF9AE}" pid="83" name="subfigLabels">
    <vt:lpwstr>alpha a</vt:lpwstr>
  </property>
  <property fmtid="{D5CDD505-2E9C-101B-9397-08002B2CF9AE}" pid="84" name="subfigureChildTemplate">
    <vt:lpwstr>i</vt:lpwstr>
  </property>
  <property fmtid="{D5CDD505-2E9C-101B-9397-08002B2CF9AE}" pid="85" name="subfigureRefIndexTemplate">
    <vt:lpwstr>isuf (s)</vt:lpwstr>
  </property>
  <property fmtid="{D5CDD505-2E9C-101B-9397-08002B2CF9AE}" pid="86" name="subfigureTemplate">
    <vt:lpwstr>figureTitle ititleDelim t. ccs</vt:lpwstr>
  </property>
  <property fmtid="{D5CDD505-2E9C-101B-9397-08002B2CF9AE}" pid="87" name="subtitle">
    <vt:lpwstr>Операционные системы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