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M365 Architecture Design</w:t>
      </w:r>
    </w:p>
    <w:p>
      <w:pPr>
        <w:pStyle w:val="Heading1"/>
      </w:pPr>
      <w:r>
        <w:t>Overview</w:t>
      </w:r>
    </w:p>
    <w:p>
      <w:r>
        <w:t>This document describes the architecture for our Microsoft 365 Copilot integration.</w:t>
      </w:r>
    </w:p>
    <w:p>
      <w:pPr>
        <w:pStyle w:val="Heading1"/>
      </w:pPr>
      <w:r>
        <w:t>Components</w:t>
      </w:r>
    </w:p>
    <w:p>
      <w:r>
        <w:t>The solution uses Microsoft 365 Copilot integrated with SharePoint for document retrieval. Users interact through Microsoft Teams where Copilot provides AI-assisted responses.</w:t>
      </w:r>
    </w:p>
    <w:p>
      <w:r>
        <w:t>Data flows from SharePoint through the Microsoft Graph API to Copilot. Azure OpenAI processes the queries and returns responses.</w:t>
      </w:r>
    </w:p>
    <w:p>
      <w:pPr>
        <w:pStyle w:val="Heading1"/>
      </w:pPr>
      <w:r>
        <w:t>Automation</w:t>
      </w:r>
    </w:p>
    <w:p>
      <w:r>
        <w:t>Power Automate handles automated workflows triggered by SharePoint document uploads, storing metadata in Dataverse.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