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D1 — MODELO ROBUSTO NDA BILATERAL — OCTUBRE 2023</w:t>
      </w:r>
    </w:p>
    <w:p>
      <w:r>
        <w:t>Acuerdo de Confidencialidad Mutual / Bilateral con cláusulas reforzadas.</w:t>
      </w:r>
    </w:p>
    <w:p>
      <w:r>
        <w:t>1. Naturaleza bilateral. Ambas Partes pueden revelar y recibir Información Confidencial recíprocamente.</w:t>
      </w:r>
    </w:p>
    <w:p>
      <w:r>
        <w:t>2. Definición amplia. Incluye información oral, escrita, electrónica, prototipos, código fuente, datos personales y secretos industriales.</w:t>
      </w:r>
    </w:p>
    <w:p>
      <w:r>
        <w:t>3. Obligaciones recíprocas. Cada Parte actúa como Reveladora y Receptora con el mismo estándar de cuidado.</w:t>
      </w:r>
    </w:p>
    <w:p>
      <w:r>
        <w:t>4. Medidas de seguridad. Deber de aplicar controles técnicos y organizativos razonables, incluyendo cifrado y need-to-know.</w:t>
      </w:r>
    </w:p>
    <w:p>
      <w:r>
        <w:t>5. Personal y contratistas. Extensión de obligaciones a empleados, asesores y subcontratistas bajo NDA equivalente.</w:t>
      </w:r>
    </w:p>
    <w:p>
      <w:r>
        <w:t>6. Propiedad intelectual. Nada en este acuerdo transfiere derechos de IP; las mejoras siguen siendo de su titular.</w:t>
      </w:r>
    </w:p>
    <w:p>
      <w:r>
        <w:t>7. Remedios. Reconocimiento de daño irreparable y derecho a medidas cautelares sin caución excesiva.</w:t>
      </w:r>
    </w:p>
    <w:p>
      <w:r>
        <w:t>8. Plazo robusto. Cinco (5) años de confidencialidad; secretos industriales de forma indefinida mientras mantengan tal carácter.</w:t>
      </w:r>
    </w:p>
    <w:p>
      <w:r>
        <w:t>9. Auditoría. Derecho a verificar cumplimiento en caso de sospecha fundada de filtración.</w:t>
      </w:r>
    </w:p>
    <w:p>
      <w:r>
        <w:t>10. Legislación y jurisdicción. Ley chilena; tribunales de Santiago.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