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103.png" ContentType="image/png"/>
  <Override PartName="/word/media/rId34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38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Модель SIR и модель Лотки-Вольтерры</w:t>
      </w:r>
    </w:p>
    <w:p>
      <w:pPr>
        <w:pStyle w:val="Author"/>
      </w:pPr>
      <w:r>
        <w:t xml:space="preserve">София Черная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модели SIR (эпидемиологической модели) и модели Лотки-Вольтерры (системы «хищник-жертва»). Освоение методов имитационного моделирования систем дифференциальных уравнений с использованием языка Julia и пакета DrWatson.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второй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в базовом варианте.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с помощью Literate.jl.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чистый код, Jupyter Notebook и документацию Quarto.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исследование модели SIR.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Лотки-Вольтерры в базовом и параметрическом вариантах.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результатов, оформить графики и включить их в отчёт.</w:t>
      </w:r>
    </w:p>
    <w:bookmarkEnd w:id="21"/>
    <w:bookmarkStart w:id="29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5" w:name="модель-sir"/>
    <w:p>
      <w:pPr>
        <w:pStyle w:val="Heading2"/>
      </w:pPr>
      <w:r>
        <w:t xml:space="preserve">Модель SIR</w:t>
      </w:r>
    </w:p>
    <w:p>
      <w:pPr>
        <w:pStyle w:val="FirstParagraph"/>
      </w:pPr>
      <w:r>
        <w:t xml:space="preserve">Модель SIR является классической математической моделью эпидемиологии, описывающей распространение инфекционного заболевания в замкнутой популяции.</w:t>
      </w:r>
    </w:p>
    <w:bookmarkStart w:id="22" w:name="компартменты-модели"/>
    <w:p>
      <w:pPr>
        <w:pStyle w:val="Heading3"/>
      </w:pPr>
      <w:r>
        <w:t xml:space="preserve">Компартменты модели</w:t>
      </w:r>
    </w:p>
    <w:p>
      <w:pPr>
        <w:pStyle w:val="FirstParagraph"/>
      </w:pPr>
      <w:r>
        <w:t xml:space="preserve">Модель делит популяцию на три группы: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 (Susceptible, Восприимчивые)</w:t>
      </w:r>
      <w:r>
        <w:t xml:space="preserve"> </w:t>
      </w:r>
      <w:r>
        <w:t xml:space="preserve">— индивиды, которые могут заразиться.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 (Infectious, Инфицированные)</w:t>
      </w:r>
      <w:r>
        <w:t xml:space="preserve"> </w:t>
      </w:r>
      <w:r>
        <w:t xml:space="preserve">— индивиды, которые больны и могут передавать инфекцию.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(Recovered, Выздоровевшие)</w:t>
      </w:r>
      <w:r>
        <w:t xml:space="preserve"> </w:t>
      </w:r>
      <w:r>
        <w:t xml:space="preserve">— индивиды, которые переболели и приобрели иммунитет (или умерли). Они больше не участвуют в распространении болезни.</w:t>
      </w:r>
    </w:p>
    <w:bookmarkEnd w:id="22"/>
    <w:bookmarkStart w:id="23" w:name="система-дифференциальных-уравнений"/>
    <w:p>
      <w:pPr>
        <w:pStyle w:val="Heading3"/>
      </w:pPr>
      <w:r>
        <w:t xml:space="preserve">Система дифференциальных уравнений</w:t>
      </w:r>
    </w:p>
    <w:p>
      <w:pPr>
        <w:pStyle w:val="FirstParagraph"/>
      </w:pPr>
      <w:r>
        <w:t xml:space="preserve">Динамика модели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( N = S + I + R ) — общая (постоянная) численность популяции;</w:t>
      </w:r>
      <w:r>
        <w:t xml:space="preserve"> </w:t>
      </w:r>
      <w:r>
        <w:t xml:space="preserve">- (</w:t>
      </w:r>
      <w:r>
        <w:t xml:space="preserve"> </w:t>
      </w:r>
      <w:r>
        <w:t xml:space="preserve">) — коэффициент заражения (скорость передачи инфекции);</w:t>
      </w:r>
      <w:r>
        <w:t xml:space="preserve"> </w:t>
      </w:r>
      <w:r>
        <w:t xml:space="preserve">- (</w:t>
      </w:r>
      <w:r>
        <w:t xml:space="preserve"> </w:t>
      </w:r>
      <w:r>
        <w:t xml:space="preserve">) — коэффициент выздоровления (величина, обратная средней продолжительности болезни ( 1/</w:t>
      </w:r>
      <w:r>
        <w:t xml:space="preserve">)).</w:t>
      </w:r>
    </w:p>
    <w:bookmarkEnd w:id="23"/>
    <w:bookmarkStart w:id="24" w:name="ключевые-показатели"/>
    <w:p>
      <w:pPr>
        <w:pStyle w:val="Heading3"/>
      </w:pPr>
      <w:r>
        <w:t xml:space="preserve">Ключевые показатели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Базовое репродуктивное число</w:t>
      </w:r>
      <w:r>
        <w:t xml:space="preserve">: ( R_0 =</w:t>
      </w:r>
      <w:r>
        <w:t xml:space="preserve"> </w:t>
      </w:r>
      <w:r>
        <w:t xml:space="preserve"> </w:t>
      </w:r>
      <w:r>
        <w:t xml:space="preserve">). Показывает, сколько в среднем человек заразит один инфицированный в полностью восприимчивой популяции. При ( R_0 &gt; 1 ) эпидемия разрастается, при ( R_0 &lt; 1 ) — затухает.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Порог коллективного иммунитета</w:t>
      </w:r>
      <w:r>
        <w:t xml:space="preserve">: ( 1 -</w:t>
      </w:r>
      <w:r>
        <w:t xml:space="preserve"> </w:t>
      </w:r>
      <w:r>
        <w:t xml:space="preserve"> </w:t>
      </w:r>
      <w:r>
        <w:t xml:space="preserve">). Доля популяции, которая должна иметь иммунитет для предотвращения роста эпидемии.</w:t>
      </w:r>
    </w:p>
    <w:bookmarkEnd w:id="24"/>
    <w:bookmarkEnd w:id="25"/>
    <w:bookmarkStart w:id="28" w:name="модель-лотки-вольтерры"/>
    <w:p>
      <w:pPr>
        <w:pStyle w:val="Heading2"/>
      </w:pPr>
      <w:r>
        <w:t xml:space="preserve">Модель Лотки-Вольтерры</w:t>
      </w:r>
    </w:p>
    <w:p>
      <w:pPr>
        <w:pStyle w:val="FirstParagraph"/>
      </w:pPr>
      <w:r>
        <w:t xml:space="preserve">Модель Лотки-Вольтерры (или модель «хищник-жертва») описывает динамику взаимодействия двух биологических видов.</w:t>
      </w:r>
    </w:p>
    <w:bookmarkStart w:id="26" w:name="система-уравнений"/>
    <w:p>
      <w:pPr>
        <w:pStyle w:val="Heading3"/>
      </w:pPr>
      <w:r>
        <w:t xml:space="preserve">Система уравнений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( x ) — численность популяции жертв (например, зайцев);</w:t>
      </w:r>
      <w:r>
        <w:t xml:space="preserve"> </w:t>
      </w:r>
      <w:r>
        <w:t xml:space="preserve">- ( y ) — численность популяции хищников (например, лис);</w:t>
      </w:r>
      <w:r>
        <w:t xml:space="preserve"> </w:t>
      </w:r>
      <w:r>
        <w:t xml:space="preserve">- (</w:t>
      </w:r>
      <w:r>
        <w:t xml:space="preserve"> </w:t>
      </w:r>
      <w:r>
        <w:t xml:space="preserve">) — коэффициент естественного прироста жертв;</w:t>
      </w:r>
      <w:r>
        <w:t xml:space="preserve"> </w:t>
      </w:r>
      <w:r>
        <w:t xml:space="preserve">- (</w:t>
      </w:r>
      <w:r>
        <w:t xml:space="preserve"> </w:t>
      </w:r>
      <w:r>
        <w:t xml:space="preserve">) — коэффициент смертности жертв в результате встреч с хищниками;</w:t>
      </w:r>
      <w:r>
        <w:t xml:space="preserve"> </w:t>
      </w:r>
      <w:r>
        <w:t xml:space="preserve">- (</w:t>
      </w:r>
      <w:r>
        <w:t xml:space="preserve"> </w:t>
      </w:r>
      <w:r>
        <w:t xml:space="preserve">) — коэффициент прироста хищников за счёт потребления жертв;</w:t>
      </w:r>
      <w:r>
        <w:t xml:space="preserve"> </w:t>
      </w:r>
      <w:r>
        <w:t xml:space="preserve">- (</w:t>
      </w:r>
      <w:r>
        <w:t xml:space="preserve"> </w:t>
      </w:r>
      <w:r>
        <w:t xml:space="preserve">) — коэффициент естественной смертности хищников.</w:t>
      </w:r>
    </w:p>
    <w:bookmarkEnd w:id="26"/>
    <w:bookmarkStart w:id="27" w:name="характеристики-модели"/>
    <w:p>
      <w:pPr>
        <w:pStyle w:val="Heading3"/>
      </w:pPr>
      <w:r>
        <w:t xml:space="preserve">Характеристики модели</w:t>
      </w:r>
    </w:p>
    <w:p>
      <w:pPr>
        <w:pStyle w:val="FirstParagraph"/>
      </w:pPr>
      <w:r>
        <w:t xml:space="preserve">Система имеет две стационарные точки. Нетривиальная точка сосуществования видов:</w:t>
      </w:r>
      <w:r>
        <w:t xml:space="preserve"> </w:t>
      </w:r>
      <w:r>
        <w:t xml:space="preserve">[ x^* =</w:t>
      </w:r>
      <w:r>
        <w:t xml:space="preserve"> </w:t>
      </w:r>
      <w:r>
        <w:t xml:space="preserve">,</w:t>
      </w:r>
      <w:r>
        <w:t xml:space="preserve">y^* 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Вокруг этой точки решения носят колебательный характер, причём пик численности хищников отстаёт от пика численности жертв.</w:t>
      </w:r>
    </w:p>
    <w:bookmarkEnd w:id="27"/>
    <w:bookmarkEnd w:id="28"/>
    <w:bookmarkEnd w:id="29"/>
    <w:bookmarkStart w:id="16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лабораторной работы перехожу в уже созданный репозиторий labs/lab02.</w:t>
      </w:r>
    </w:p>
    <w:bookmarkStart w:id="98" w:name="модель-sir-1"/>
    <w:p>
      <w:pPr>
        <w:pStyle w:val="Heading2"/>
      </w:pPr>
      <w:r>
        <w:t xml:space="preserve">Модель SIR</w:t>
      </w:r>
    </w:p>
    <w:p>
      <w:pPr>
        <w:pStyle w:val="FirstParagraph"/>
      </w:pPr>
      <w:r>
        <w:t xml:space="preserve">Создаю файл sir_ode.jl (рис.</w:t>
      </w:r>
      <w:r>
        <w:t xml:space="preserve"> </w:t>
      </w:r>
      <w:hyperlink w:anchor="fig-001">
        <w:r>
          <w:rPr>
            <w:rStyle w:val="Hyperlink"/>
          </w:rPr>
          <w:t xml:space="preserve">Figure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10371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Создание файла через команду touch</w:t>
            </w:r>
          </w:p>
          <w:bookmarkEnd w:id="33"/>
        </w:tc>
      </w:tr>
    </w:tbl>
    <w:p>
      <w:pPr>
        <w:pStyle w:val="BodyText"/>
      </w:pPr>
      <w:r>
        <w:t xml:space="preserve">Вставляю предложенный из методических материалов программный код в файл (рис.</w:t>
      </w:r>
      <w:r>
        <w:t xml:space="preserve"> </w:t>
      </w:r>
      <w:hyperlink w:anchor="fig-002">
        <w:r>
          <w:rPr>
            <w:rStyle w:val="Hyperlink"/>
          </w:rPr>
          <w:t xml:space="preserve">Figure 2</w:t>
        </w:r>
      </w:hyperlink>
      <w:r>
        <w:t xml:space="preserve">). Код реализует функцию</w:t>
      </w:r>
      <w:r>
        <w:t xml:space="preserve"> </w:t>
      </w:r>
      <w:r>
        <w:rPr>
          <w:rStyle w:val="VerbatimChar"/>
        </w:rPr>
        <w:t xml:space="preserve">sir_ode!</w:t>
      </w:r>
      <w:r>
        <w:t xml:space="preserve">, которая описывает правые части системы дифференциальных уравнений, а также задаёт параметры модели и начальные условия.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2"/>
          <w:p>
            <w:pPr>
              <w:pStyle w:val="Compact"/>
              <w:jc w:val="center"/>
            </w:pPr>
            <w:r>
              <w:drawing>
                <wp:inline>
                  <wp:extent cx="3733800" cy="265356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3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Программный код модели SIR</w:t>
            </w:r>
          </w:p>
          <w:bookmarkEnd w:id="37"/>
        </w:tc>
      </w:tr>
    </w:tbl>
    <w:p>
      <w:pPr>
        <w:pStyle w:val="BodyText"/>
      </w:pPr>
      <w:r>
        <w:t xml:space="preserve">Запускаю скрипт с помощью команды</w:t>
      </w:r>
      <w:r>
        <w:t xml:space="preserve"> </w:t>
      </w:r>
      <w:r>
        <w:rPr>
          <w:rStyle w:val="VerbatimChar"/>
        </w:rPr>
        <w:t xml:space="preserve">julia --project=. scripts/sir_ode.jl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Figure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3"/>
          <w:p>
            <w:pPr>
              <w:pStyle w:val="Compact"/>
              <w:jc w:val="center"/>
            </w:pPr>
            <w:r>
              <w:drawing>
                <wp:inline>
                  <wp:extent cx="3733800" cy="36721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Запуск скрипта sir_ode.jl</w:t>
            </w:r>
          </w:p>
          <w:bookmarkEnd w:id="41"/>
        </w:tc>
      </w:tr>
    </w:tbl>
    <w:p>
      <w:pPr>
        <w:pStyle w:val="BodyText"/>
      </w:pPr>
      <w:r>
        <w:t xml:space="preserve">Вывод в консоли параметров модели (рис.</w:t>
      </w:r>
      <w:r>
        <w:t xml:space="preserve"> </w:t>
      </w:r>
      <w:hyperlink w:anchor="fig-004">
        <w:r>
          <w:rPr>
            <w:rStyle w:val="Hyperlink"/>
          </w:rPr>
          <w:t xml:space="preserve">Figure 4</w:t>
        </w:r>
      </w:hyperlink>
      <w:r>
        <w:t xml:space="preserve">). Здесь отображаются заданные значения коэффициентов (</w:t>
      </w:r>
      <w:r>
        <w:t xml:space="preserve"> </w:t>
      </w:r>
      <w:r>
        <w:t xml:space="preserve">) и (</w:t>
      </w:r>
      <w:r>
        <w:t xml:space="preserve"> </w:t>
      </w:r>
      <w:r>
        <w:t xml:space="preserve">), рассчитанное базовое репродуктивное число ( R_0 ), а также начальные условия.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211471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4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Параметры модели SIR, выведенные в консоль</w:t>
            </w:r>
          </w:p>
          <w:bookmarkEnd w:id="45"/>
        </w:tc>
      </w:tr>
    </w:tbl>
    <w:p>
      <w:pPr>
        <w:pStyle w:val="BodyText"/>
      </w:pPr>
      <w:r>
        <w:t xml:space="preserve">В результате выполнения скрипта были сгенерированы несколько графиков, позволяющих проанализировать динамику эпидемии.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005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представлен график «Динамика эффективного репродуктивного числа» ( R_e(t) = R_0</w:t>
      </w:r>
      <w:r>
        <w:t xml:space="preserve"> </w:t>
      </w:r>
      <w:r>
        <w:t xml:space="preserve">S(t)/N ).</w:t>
      </w:r>
      <w:r>
        <w:t xml:space="preserve"> </w:t>
      </w:r>
      <w:r>
        <w:t xml:space="preserve">- При ( R_e(t) &gt; 1 ): количество новых зараженных растет, эпидемия развивается.</w:t>
      </w:r>
      <w:r>
        <w:t xml:space="preserve"> </w:t>
      </w:r>
      <w:r>
        <w:t xml:space="preserve">- При ( R_e(t) = 1 ): система находится в равновесии. Это момент пика эпидемии, когда число больных ( I(t) ) перестает расти и начинает падать.</w:t>
      </w:r>
      <w:r>
        <w:t xml:space="preserve"> </w:t>
      </w:r>
      <w:r>
        <w:t xml:space="preserve">- При ( R_e(t) &lt; 1 ): количество новых зараженных падает, эпидемия затухает.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5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5: Динамика эффективного репродуктивного числа ( R_e(t) )</w:t>
            </w:r>
          </w:p>
          <w:bookmarkEnd w:id="49"/>
        </w:tc>
      </w:tr>
    </w:tbl>
    <w:p>
      <w:pPr>
        <w:pStyle w:val="BodyText"/>
      </w:pPr>
      <w:r>
        <w:t xml:space="preserve">Следующим идет график «Динамика числа зараженных» (рис.</w:t>
      </w:r>
      <w:r>
        <w:t xml:space="preserve"> </w:t>
      </w:r>
      <w:hyperlink w:anchor="fig-006">
        <w:r>
          <w:rPr>
            <w:rStyle w:val="Hyperlink"/>
          </w:rPr>
          <w:t xml:space="preserve">Figure 6</w:t>
        </w:r>
      </w:hyperlink>
      <w:r>
        <w:t xml:space="preserve">). На нем показано изменение числа инфицированных ( I(t) ) во времени. Хорошо виден колоколообразный пик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6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6: Динамика числа зараженных ( I(t) )</w:t>
            </w:r>
          </w:p>
          <w:bookmarkEnd w:id="53"/>
        </w:tc>
      </w:tr>
    </w:tbl>
    <w:p>
      <w:pPr>
        <w:pStyle w:val="BodyText"/>
      </w:pPr>
      <w:r>
        <w:t xml:space="preserve">График «Экспоненциальный рост (лог. шкала)» (рис.</w:t>
      </w:r>
      <w:r>
        <w:t xml:space="preserve"> </w:t>
      </w:r>
      <w:hyperlink w:anchor="fig-007">
        <w:r>
          <w:rPr>
            <w:rStyle w:val="Hyperlink"/>
          </w:rPr>
          <w:t xml:space="preserve">Figure 7</w:t>
        </w:r>
      </w:hyperlink>
      <w:r>
        <w:t xml:space="preserve">) показывает ту же кривую ( I(t) ), но в полулогарифмическом масштабе. Прямолинейный участок в начале графика подтверждает экспоненциальный характер роста числа зараженных на начальном этапе эпидемии, что соответствует теоретическим предсказаниям для модели SIR при ( R_0 &gt; 1 ).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7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7: Экспоненциальный рост числа зараженных в логарифмическом масштабе</w:t>
            </w:r>
          </w:p>
          <w:bookmarkEnd w:id="57"/>
        </w:tc>
      </w:tr>
    </w:tbl>
    <w:p>
      <w:pPr>
        <w:pStyle w:val="BodyText"/>
      </w:pPr>
      <w:r>
        <w:t xml:space="preserve">На графике «Модель SIR: динамика эпидемии» (рис.</w:t>
      </w:r>
      <w:r>
        <w:t xml:space="preserve"> </w:t>
      </w:r>
      <w:hyperlink w:anchor="fig-008">
        <w:r>
          <w:rPr>
            <w:rStyle w:val="Hyperlink"/>
          </w:rPr>
          <w:t xml:space="preserve">Figure 8</w:t>
        </w:r>
      </w:hyperlink>
      <w:r>
        <w:t xml:space="preserve">) представлена полная картина: показаны кривые для всех трех групп — восприимчивых ( S(t) ), инфицированных ( I(t) ) и выздоровевших ( R(t) ). Видно, как по мере развития эпидемии число восприимчивых падает, а число выздоровевших растет.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8: Модель SIR: динамика всех трёх групп населения</w:t>
            </w:r>
          </w:p>
          <w:bookmarkEnd w:id="61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09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показана компактная панель из шести графиков, объединяющая различные аспекты анализа модели SIR: динамику популяций, фазовый портрет, скорости изменения и спектральный анализ.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9: Компактная панель графиков для анализа модели SIR</w:t>
            </w:r>
          </w:p>
          <w:bookmarkEnd w:id="65"/>
        </w:tc>
      </w:tr>
    </w:tbl>
    <w:p>
      <w:pPr>
        <w:pStyle w:val="BodyText"/>
      </w:pPr>
      <w:r>
        <w:t xml:space="preserve">График «Динамика эпидемии в процентах» (рис.</w:t>
      </w:r>
      <w:r>
        <w:t xml:space="preserve"> </w:t>
      </w:r>
      <w:hyperlink w:anchor="fig-010">
        <w:r>
          <w:rPr>
            <w:rStyle w:val="Hyperlink"/>
          </w:rPr>
          <w:t xml:space="preserve">Figure 10</w:t>
        </w:r>
      </w:hyperlink>
      <w:r>
        <w:t xml:space="preserve">) аналогичен графику на рис.</w:t>
      </w:r>
      <w:r>
        <w:t xml:space="preserve"> </w:t>
      </w:r>
      <w:hyperlink w:anchor="fig-008">
        <w:r>
          <w:rPr>
            <w:rStyle w:val="Hyperlink"/>
          </w:rPr>
          <w:t xml:space="preserve">Figure 8</w:t>
        </w:r>
      </w:hyperlink>
      <w:r>
        <w:t xml:space="preserve">, но значения по оси Y представлены в процентах от общей численности популяции. Фиолетовая пунктирная линия обозначает «порог коллективного иммунитета» ( 1-1/R_0 ). Когда доля восприимчивых ( S/N ) опускается ниже этого порога, эпидемия начинает затухать, так как каждый больной в среднем заражает меньше одного человека.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10: Динамика эпидемии в процентах от общей численности популяции</w:t>
            </w:r>
          </w:p>
          <w:bookmarkEnd w:id="69"/>
        </w:tc>
      </w:tr>
    </w:tbl>
    <w:p>
      <w:pPr>
        <w:pStyle w:val="BodyText"/>
      </w:pPr>
      <w:r>
        <w:t xml:space="preserve">На фазовом портрете (рис.</w:t>
      </w:r>
      <w:r>
        <w:t xml:space="preserve"> </w:t>
      </w:r>
      <w:hyperlink w:anchor="fig-011">
        <w:r>
          <w:rPr>
            <w:rStyle w:val="Hyperlink"/>
          </w:rPr>
          <w:t xml:space="preserve">Figure 11</w:t>
        </w:r>
      </w:hyperlink>
      <w:r>
        <w:t xml:space="preserve">) показана внутренняя структура процесса. По оси Ox — число восприимчивых ( S ), по оси Oy — число инфицированных ( I ). Траектория системы начинается в точке с максимальным ( S ) и движется к оси ( S ), где ( I = 0 ), что соответствует окончанию эпидемии.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11: Фазовый портрет модели SIR</w:t>
            </w:r>
          </w:p>
          <w:bookmarkEnd w:id="73"/>
        </w:tc>
      </w:tr>
    </w:tbl>
    <w:p>
      <w:pPr>
        <w:pStyle w:val="BodyText"/>
      </w:pPr>
      <w:r>
        <w:t xml:space="preserve">После успешного выполнения базового скрипта, я преобразовал файл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 </w:t>
      </w:r>
      <w:r>
        <w:t xml:space="preserve">в литературный код, добавив подробные комментарии и теоретические пояснения. Полученный файл назван</w:t>
      </w:r>
      <w:r>
        <w:t xml:space="preserve"> </w:t>
      </w:r>
      <w:r>
        <w:rPr>
          <w:rStyle w:val="VerbatimChar"/>
        </w:rPr>
        <w:t xml:space="preserve">sir_literode.jl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Figure 12</w:t>
        </w:r>
      </w:hyperlink>
      <w:r>
        <w:t xml:space="preserve">). Такой подход соответствует методологии литературного программирования.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2"/>
          <w:p>
            <w:pPr>
              <w:pStyle w:val="Compact"/>
              <w:jc w:val="center"/>
            </w:pPr>
            <w:r>
              <w:drawing>
                <wp:inline>
                  <wp:extent cx="3733800" cy="189203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12: Литературный код модели SIR в файле sir_literode.jl</w:t>
            </w:r>
          </w:p>
          <w:bookmarkEnd w:id="77"/>
        </w:tc>
      </w:tr>
    </w:tbl>
    <w:p>
      <w:pPr>
        <w:pStyle w:val="BodyText"/>
      </w:pPr>
      <w:r>
        <w:t xml:space="preserve">Запускаю скрипт</w:t>
      </w:r>
      <w:r>
        <w:t xml:space="preserve"> </w:t>
      </w:r>
      <w:r>
        <w:rPr>
          <w:rStyle w:val="VerbatimChar"/>
        </w:rPr>
        <w:t xml:space="preserve">sir_literode.jl</w:t>
      </w:r>
      <w:r>
        <w:t xml:space="preserve"> </w:t>
      </w:r>
      <w:r>
        <w:t xml:space="preserve">для генерации производных форматов (рис.</w:t>
      </w:r>
      <w:r>
        <w:t xml:space="preserve"> </w:t>
      </w:r>
      <w:hyperlink w:anchor="fig-013">
        <w:r>
          <w:rPr>
            <w:rStyle w:val="Hyperlink"/>
          </w:rPr>
          <w:t xml:space="preserve">Figure 13</w:t>
        </w:r>
      </w:hyperlink>
      <w:r>
        <w:t xml:space="preserve">). Для этого используется специальный скрипт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3"/>
          <w:p>
            <w:pPr>
              <w:pStyle w:val="Compact"/>
              <w:jc w:val="center"/>
            </w:pPr>
            <w:r>
              <w:drawing>
                <wp:inline>
                  <wp:extent cx="3733800" cy="42123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13: Запуск скрипта tangle.jl для генерации форматов из литературного кода</w:t>
            </w:r>
          </w:p>
          <w:bookmarkEnd w:id="81"/>
        </w:tc>
      </w:tr>
    </w:tbl>
    <w:p>
      <w:pPr>
        <w:pStyle w:val="BodyText"/>
      </w:pPr>
      <w:r>
        <w:t xml:space="preserve">При выполнении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создались три файла:</w:t>
      </w:r>
      <w:r>
        <w:t xml:space="preserve"> </w:t>
      </w:r>
      <w:r>
        <w:rPr>
          <w:rStyle w:val="VerbatimChar"/>
        </w:rPr>
        <w:t xml:space="preserve">sir_literode.ipynb</w:t>
      </w:r>
      <w:r>
        <w:t xml:space="preserve"> </w:t>
      </w:r>
      <w:r>
        <w:t xml:space="preserve">(Jupyter Notebook),</w:t>
      </w:r>
      <w:r>
        <w:t xml:space="preserve"> </w:t>
      </w:r>
      <w:r>
        <w:rPr>
          <w:rStyle w:val="VerbatimChar"/>
        </w:rPr>
        <w:t xml:space="preserve">sir_literode.qmd</w:t>
      </w:r>
      <w:r>
        <w:t xml:space="preserve"> </w:t>
      </w:r>
      <w:r>
        <w:t xml:space="preserve">(документ Quarto) и</w:t>
      </w:r>
      <w:r>
        <w:t xml:space="preserve"> </w:t>
      </w:r>
      <w:r>
        <w:rPr>
          <w:rStyle w:val="VerbatimChar"/>
        </w:rPr>
        <w:t xml:space="preserve">sir_literode.jl</w:t>
      </w:r>
      <w:r>
        <w:t xml:space="preserve"> </w:t>
      </w:r>
      <w:r>
        <w:t xml:space="preserve">(чистый код). Запускаю файл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через терминал (рис.</w:t>
      </w:r>
      <w:r>
        <w:t xml:space="preserve"> </w:t>
      </w:r>
      <w:hyperlink w:anchor="fig-014">
        <w:r>
          <w:rPr>
            <w:rStyle w:val="Hyperlink"/>
          </w:rPr>
          <w:t xml:space="preserve">Figure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1272673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2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14: Запуск сгенерированного Jupyter Notebook</w:t>
            </w:r>
          </w:p>
          <w:bookmarkEnd w:id="85"/>
        </w:tc>
      </w:tr>
    </w:tbl>
    <w:p>
      <w:pPr>
        <w:pStyle w:val="BodyText"/>
      </w:pPr>
      <w:r>
        <w:t xml:space="preserve">Открываю файл в Jupyter Notebook — всё работает корректно (рис.</w:t>
      </w:r>
      <w:r>
        <w:t xml:space="preserve"> </w:t>
      </w:r>
      <w:hyperlink w:anchor="fig-015">
        <w:r>
          <w:rPr>
            <w:rStyle w:val="Hyperlink"/>
          </w:rPr>
          <w:t xml:space="preserve">Figure 15</w:t>
        </w:r>
      </w:hyperlink>
      <w:r>
        <w:t xml:space="preserve">). Можно выполнять ячейки по порядку и видеть результаты.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5"/>
          <w:p>
            <w:pPr>
              <w:pStyle w:val="Compact"/>
              <w:jc w:val="center"/>
            </w:pPr>
            <w:r>
              <w:drawing>
                <wp:inline>
                  <wp:extent cx="3733800" cy="291722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15: Содержимое sir_literode.ipynb в Jupyter Notebook</w:t>
            </w:r>
          </w:p>
          <w:bookmarkEnd w:id="89"/>
        </w:tc>
      </w:tr>
    </w:tbl>
    <w:p>
      <w:pPr>
        <w:pStyle w:val="BodyText"/>
      </w:pPr>
      <w:r>
        <w:t xml:space="preserve">Проверяю файл</w:t>
      </w:r>
      <w:r>
        <w:t xml:space="preserve"> </w:t>
      </w:r>
      <w:r>
        <w:rPr>
          <w:rStyle w:val="VerbatimChar"/>
        </w:rPr>
        <w:t xml:space="preserve">sir_literode.qmd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Figure 16</w:t>
        </w:r>
      </w:hyperlink>
      <w:r>
        <w:t xml:space="preserve">). Он содержит как текст, так и исполняемые ячейки кода, что позволяет в дальнейшем интегрировать его в итоговый отчёт.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6"/>
          <w:p>
            <w:pPr>
              <w:pStyle w:val="Compact"/>
              <w:jc w:val="center"/>
            </w:pPr>
            <w:r>
              <w:drawing>
                <wp:inline>
                  <wp:extent cx="3733800" cy="211697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16: Содержание файла sir_literode.qmd</w:t>
            </w:r>
          </w:p>
          <w:bookmarkEnd w:id="93"/>
        </w:tc>
      </w:tr>
    </w:tbl>
    <w:p>
      <w:pPr>
        <w:pStyle w:val="BodyText"/>
      </w:pPr>
      <w:r>
        <w:t xml:space="preserve">Также просматриваю чистый код в</w:t>
      </w:r>
      <w:r>
        <w:t xml:space="preserve"> </w:t>
      </w:r>
      <w:r>
        <w:rPr>
          <w:rStyle w:val="VerbatimChar"/>
        </w:rPr>
        <w:t xml:space="preserve">sir_literode.jl</w:t>
      </w:r>
      <w:r>
        <w:t xml:space="preserve"> </w:t>
      </w:r>
      <w:r>
        <w:t xml:space="preserve">(рис.</w:t>
      </w:r>
      <w:r>
        <w:t xml:space="preserve"> </w:t>
      </w:r>
      <w:hyperlink w:anchor="fig-017">
        <w:r>
          <w:rPr>
            <w:rStyle w:val="Hyperlink"/>
          </w:rPr>
          <w:t xml:space="preserve">Figure 17</w:t>
        </w:r>
      </w:hyperlink>
      <w:r>
        <w:t xml:space="preserve">). Он представляет собой извлеченный из литературного источника исполняемый код без комментариев.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7"/>
          <w:p>
            <w:pPr>
              <w:pStyle w:val="Compact"/>
              <w:jc w:val="center"/>
            </w:pPr>
            <w:r>
              <w:drawing>
                <wp:inline>
                  <wp:extent cx="3733800" cy="211697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17: Содержание файла с чистым кодом sir_literode.jl</w:t>
            </w:r>
          </w:p>
          <w:bookmarkEnd w:id="97"/>
        </w:tc>
      </w:tr>
    </w:tbl>
    <w:bookmarkEnd w:id="98"/>
    <w:bookmarkStart w:id="163" w:name="модель-лотки-вольтерры-1"/>
    <w:p>
      <w:pPr>
        <w:pStyle w:val="Heading2"/>
      </w:pPr>
      <w:r>
        <w:t xml:space="preserve">Модель Лотки-Вольтерры</w:t>
      </w:r>
    </w:p>
    <w:p>
      <w:pPr>
        <w:pStyle w:val="FirstParagraph"/>
      </w:pPr>
      <w:r>
        <w:t xml:space="preserve">После завершения работы с моделью SIR, перехожу к реализации модели Лотки-Вольтерры.</w:t>
      </w:r>
    </w:p>
    <w:p>
      <w:pPr>
        <w:pStyle w:val="BodyText"/>
      </w:pPr>
      <w:r>
        <w:t xml:space="preserve">Создаю файл</w:t>
      </w:r>
      <w:r>
        <w:t xml:space="preserve"> </w:t>
      </w:r>
      <w:r>
        <w:rPr>
          <w:rStyle w:val="VerbatimChar"/>
        </w:rPr>
        <w:t xml:space="preserve">lv_ode.jl</w:t>
      </w:r>
      <w:r>
        <w:t xml:space="preserve"> </w:t>
      </w:r>
      <w:r>
        <w:t xml:space="preserve">(рис.</w:t>
      </w:r>
      <w:r>
        <w:t xml:space="preserve"> </w:t>
      </w:r>
      <w:hyperlink w:anchor="fig-018">
        <w:r>
          <w:rPr>
            <w:rStyle w:val="Hyperlink"/>
          </w:rPr>
          <w:t xml:space="preserve">Figure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8"/>
          <w:p>
            <w:pPr>
              <w:pStyle w:val="Compact"/>
              <w:jc w:val="center"/>
            </w:pPr>
            <w:r>
              <w:drawing>
                <wp:inline>
                  <wp:extent cx="3733800" cy="8525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18: Создание файла lv_ode.jl для модели Лотки-Вольтерры</w:t>
            </w:r>
          </w:p>
          <w:bookmarkEnd w:id="102"/>
        </w:tc>
      </w:tr>
    </w:tbl>
    <w:p>
      <w:pPr>
        <w:pStyle w:val="BodyText"/>
      </w:pPr>
      <w:r>
        <w:t xml:space="preserve">Вставляю программный код, реализующий модель «хищник-жертва» (рис.</w:t>
      </w:r>
      <w:r>
        <w:t xml:space="preserve"> </w:t>
      </w:r>
      <w:hyperlink w:anchor="fig-019">
        <w:r>
          <w:rPr>
            <w:rStyle w:val="Hyperlink"/>
          </w:rPr>
          <w:t xml:space="preserve">Figure 19</w:t>
        </w:r>
      </w:hyperlink>
      <w:r>
        <w:t xml:space="preserve">). Код содержит функцию</w:t>
      </w:r>
      <w:r>
        <w:t xml:space="preserve"> </w:t>
      </w:r>
      <w:r>
        <w:rPr>
          <w:rStyle w:val="VerbatimChar"/>
        </w:rPr>
        <w:t xml:space="preserve">lotka_volterra!</w:t>
      </w:r>
      <w:r>
        <w:t xml:space="preserve">, описывающую систему уравнений, а также задаёт классические параметры и начальные условия.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9"/>
          <w:p>
            <w:pPr>
              <w:pStyle w:val="Compact"/>
              <w:jc w:val="center"/>
            </w:pPr>
            <w:r>
              <w:drawing>
                <wp:inline>
                  <wp:extent cx="3733800" cy="244295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29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19: Программный код модели Лотки-Вольтерры в файле lv_ode.jl</w:t>
            </w:r>
          </w:p>
          <w:bookmarkEnd w:id="106"/>
        </w:tc>
      </w:tr>
    </w:tbl>
    <w:p>
      <w:pPr>
        <w:pStyle w:val="BodyText"/>
      </w:pPr>
      <w:r>
        <w:t xml:space="preserve">Запускаю скрипт</w:t>
      </w:r>
      <w:r>
        <w:t xml:space="preserve"> </w:t>
      </w:r>
      <w:r>
        <w:rPr>
          <w:rStyle w:val="VerbatimChar"/>
        </w:rPr>
        <w:t xml:space="preserve">lv_ode.jl</w:t>
      </w:r>
      <w:r>
        <w:t xml:space="preserve"> </w:t>
      </w:r>
      <w:r>
        <w:t xml:space="preserve">(рис.</w:t>
      </w:r>
      <w:r>
        <w:t xml:space="preserve"> </w:t>
      </w:r>
      <w:hyperlink w:anchor="fig-020">
        <w:r>
          <w:rPr>
            <w:rStyle w:val="Hyperlink"/>
          </w:rPr>
          <w:t xml:space="preserve">Figure 20</w:t>
        </w:r>
      </w:hyperlink>
      <w:r>
        <w:t xml:space="preserve">). Система компилирует необходимые пакеты и начинает вычисления.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0"/>
          <w:p>
            <w:pPr>
              <w:pStyle w:val="Compact"/>
              <w:jc w:val="center"/>
            </w:pPr>
            <w:r>
              <w:drawing>
                <wp:inline>
                  <wp:extent cx="3733800" cy="356297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20: Запуск скрипта lv_ode.jl</w:t>
            </w:r>
          </w:p>
          <w:bookmarkEnd w:id="110"/>
        </w:tc>
      </w:tr>
    </w:tbl>
    <w:p>
      <w:pPr>
        <w:pStyle w:val="BodyText"/>
      </w:pPr>
      <w:r>
        <w:t xml:space="preserve">После запуска в консоль выводятся рассчитанные параметры модели, начальные условия, стационарные точки, а также результаты статистического и спектрального анализа (рис.</w:t>
      </w:r>
      <w:r>
        <w:t xml:space="preserve"> </w:t>
      </w:r>
      <w:hyperlink w:anchor="fig-021">
        <w:r>
          <w:rPr>
            <w:rStyle w:val="Hyperlink"/>
          </w:rPr>
          <w:t xml:space="preserve">Figure 21</w:t>
        </w:r>
      </w:hyperlink>
      <w:r>
        <w:t xml:space="preserve">). Рассчитанная стационарная точка ( x^* = 30.0, y^* = 5.0 ) совпадает с теоретическими значениями (</w:t>
      </w:r>
      <w:r>
        <w:t xml:space="preserve"> </w:t>
      </w:r>
      <w:r>
        <w:t xml:space="preserve">/</w:t>
      </w:r>
      <w:r>
        <w:t xml:space="preserve">) и (</w:t>
      </w:r>
      <w:r>
        <w:t xml:space="preserve"> </w:t>
      </w:r>
      <w:r>
        <w:t xml:space="preserve">/</w:t>
      </w:r>
      <w:r>
        <w:t xml:space="preserve">). Период колебаний жертв составил около 4 единиц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1"/>
          <w:p>
            <w:pPr>
              <w:pStyle w:val="Compact"/>
              <w:jc w:val="center"/>
            </w:pPr>
            <w:r>
              <w:drawing>
                <wp:inline>
                  <wp:extent cx="3733800" cy="204523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5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21: Консольный вывод результатов моделирования Лотки-Вольтерры</w:t>
            </w:r>
          </w:p>
          <w:bookmarkEnd w:id="114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22">
        <w:r>
          <w:rPr>
            <w:rStyle w:val="Hyperlink"/>
          </w:rPr>
          <w:t xml:space="preserve">Figure 22</w:t>
        </w:r>
      </w:hyperlink>
      <w:r>
        <w:t xml:space="preserve"> </w:t>
      </w:r>
      <w:r>
        <w:t xml:space="preserve">представлен график производных популяций ( dx/dt ) и ( dy/dt ). Он показывает скорость изменения численности каждого вида во времени.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2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22: Производные популяций ( dx/dt ) и ( dy/dt )</w:t>
            </w:r>
          </w:p>
          <w:bookmarkEnd w:id="118"/>
        </w:tc>
      </w:tr>
    </w:tbl>
    <w:p>
      <w:pPr>
        <w:pStyle w:val="BodyText"/>
      </w:pPr>
      <w:r>
        <w:t xml:space="preserve">График «Модель Лотки-Вольтерры: Динамика популяций» (рис.</w:t>
      </w:r>
      <w:r>
        <w:t xml:space="preserve"> </w:t>
      </w:r>
      <w:hyperlink w:anchor="fig-023">
        <w:r>
          <w:rPr>
            <w:rStyle w:val="Hyperlink"/>
          </w:rPr>
          <w:t xml:space="preserve">Figure 23</w:t>
        </w:r>
      </w:hyperlink>
      <w:r>
        <w:t xml:space="preserve">) является ключевым для анализа. На нём изображены колебания численности жертв (зелёная линия) и хищников (красная линия). Хорошо виден классический результат модели — циклические колебания со сдвигом фаз: пик численности хищников наступает после пика численности жертв. Горизонтальными линиями отмечены стационарные уровни ( x^* ) и ( y^* 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3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23: Динамика популяций в модели Лотки-Вольтерры</w:t>
            </w:r>
          </w:p>
          <w:bookmarkEnd w:id="122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24">
        <w:r>
          <w:rPr>
            <w:rStyle w:val="Hyperlink"/>
          </w:rPr>
          <w:t xml:space="preserve">Figure 24</w:t>
        </w:r>
      </w:hyperlink>
      <w:r>
        <w:t xml:space="preserve"> </w:t>
      </w:r>
      <w:r>
        <w:t xml:space="preserve">представлена таблица с результатами, которая, судя по всему, содержит данные для дальнейшего анализа или была сгенерирована в процессе отладки.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24: Таблица с результатами моделирования</w:t>
            </w:r>
          </w:p>
          <w:bookmarkEnd w:id="126"/>
        </w:tc>
      </w:tr>
    </w:tbl>
    <w:p>
      <w:pPr>
        <w:pStyle w:val="BodyText"/>
      </w:pPr>
      <w:r>
        <w:t xml:space="preserve">Фазовый портрет системы (рис.</w:t>
      </w:r>
      <w:r>
        <w:t xml:space="preserve"> </w:t>
      </w:r>
      <w:hyperlink w:anchor="fig-025">
        <w:r>
          <w:rPr>
            <w:rStyle w:val="Hyperlink"/>
          </w:rPr>
          <w:t xml:space="preserve">Figure 25</w:t>
        </w:r>
      </w:hyperlink>
      <w:r>
        <w:t xml:space="preserve">) представляет собой замкнутую траекторию (предельный цикл) на плоскости ( (x, y) ). Чёрная точка — стационарное состояние ( (x^</w:t>
      </w:r>
      <w:r>
        <w:rPr>
          <w:i/>
          <w:iCs/>
        </w:rPr>
        <w:t xml:space="preserve">, y^</w:t>
      </w:r>
      <w:r>
        <w:t xml:space="preserve">) ). Пунктирными линиями показаны изоклины — линии, где производная соответствующей переменной равна нулю. Пересечение изоклин даёт стационарную точку.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25: Фазовый портрет системы «хищник-жертва»</w:t>
            </w:r>
          </w:p>
          <w:bookmarkEnd w:id="130"/>
        </w:tc>
      </w:tr>
    </w:tbl>
    <w:p>
      <w:pPr>
        <w:pStyle w:val="BodyText"/>
      </w:pPr>
      <w:r>
        <w:t xml:space="preserve">График «Относительные темпы роста» (рис.</w:t>
      </w:r>
      <w:r>
        <w:t xml:space="preserve"> </w:t>
      </w:r>
      <w:hyperlink w:anchor="fig-026">
        <w:r>
          <w:rPr>
            <w:rStyle w:val="Hyperlink"/>
          </w:rPr>
          <w:t xml:space="preserve">Figure 26</w:t>
        </w:r>
      </w:hyperlink>
      <w:r>
        <w:t xml:space="preserve">) показывает скорость изменения популяций в процентах от их текущей численности ( (dx/dt)/x ) и ( (dy/dt)/y ). Это позволяет сравнивать динамику видов независимо от масштаба их популяций.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6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26: Относительные темпы роста популяций</w:t>
            </w:r>
          </w:p>
          <w:bookmarkEnd w:id="134"/>
        </w:tc>
      </w:tr>
    </w:tbl>
    <w:p>
      <w:pPr>
        <w:pStyle w:val="BodyText"/>
      </w:pPr>
      <w:r>
        <w:t xml:space="preserve">Спектральный анализ (Фурье) колебаний представлен на рис.</w:t>
      </w:r>
      <w:r>
        <w:t xml:space="preserve"> </w:t>
      </w:r>
      <w:hyperlink w:anchor="fig-027">
        <w:r>
          <w:rPr>
            <w:rStyle w:val="Hyperlink"/>
          </w:rPr>
          <w:t xml:space="preserve">Figure 27</w:t>
        </w:r>
      </w:hyperlink>
      <w:r>
        <w:t xml:space="preserve">. Пики на графике соответствуют основным частотам колебаний жертв и хищников. Доминирующая частота позволяет определить основной период колебаний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7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27: Спектральный анализ (Фурье) колебаний численности жертв и хищников</w:t>
            </w:r>
          </w:p>
          <w:bookmarkEnd w:id="138"/>
        </w:tc>
      </w:tr>
    </w:tbl>
    <w:p>
      <w:pPr>
        <w:pStyle w:val="BodyText"/>
      </w:pPr>
      <w:r>
        <w:t xml:space="preserve">После успешного выполнения базового скрипта, я приступил к созданию литературного кода для модели Лотки-Вольтерры. На рис.</w:t>
      </w:r>
      <w:r>
        <w:t xml:space="preserve"> </w:t>
      </w:r>
      <w:hyperlink w:anchor="fig-028">
        <w:r>
          <w:rPr>
            <w:rStyle w:val="Hyperlink"/>
          </w:rPr>
          <w:t xml:space="preserve">Figure 28</w:t>
        </w:r>
      </w:hyperlink>
      <w:r>
        <w:t xml:space="preserve">,</w:t>
      </w:r>
      <w:r>
        <w:t xml:space="preserve"> </w:t>
      </w:r>
      <w:hyperlink w:anchor="fig-029">
        <w:r>
          <w:rPr>
            <w:rStyle w:val="Hyperlink"/>
          </w:rPr>
          <w:t xml:space="preserve">Figure 29</w:t>
        </w:r>
      </w:hyperlink>
      <w:r>
        <w:t xml:space="preserve"> </w:t>
      </w:r>
      <w:r>
        <w:t xml:space="preserve">и</w:t>
      </w:r>
      <w:r>
        <w:t xml:space="preserve"> </w:t>
      </w:r>
      <w:hyperlink w:anchor="fig-030">
        <w:r>
          <w:rPr>
            <w:rStyle w:val="Hyperlink"/>
          </w:rPr>
          <w:t xml:space="preserve">Figure 30</w:t>
        </w:r>
      </w:hyperlink>
      <w:r>
        <w:t xml:space="preserve"> </w:t>
      </w:r>
      <w:r>
        <w:t xml:space="preserve">представлены различные версии и фрагменты литературного кода</w:t>
      </w:r>
      <w:r>
        <w:t xml:space="preserve"> </w:t>
      </w:r>
      <w:r>
        <w:rPr>
          <w:rStyle w:val="VerbatimChar"/>
        </w:rPr>
        <w:t xml:space="preserve">lv_literate.jl</w:t>
      </w:r>
      <w:r>
        <w:t xml:space="preserve">, где теория сопровождается исполняемыми блоками.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8"/>
          <w:p>
            <w:pPr>
              <w:pStyle w:val="Compact"/>
              <w:jc w:val="center"/>
            </w:pPr>
            <w:r>
              <w:drawing>
                <wp:inline>
                  <wp:extent cx="3733800" cy="2421298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1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28: Фрагмент литературного кода модели Лотки-Вольтерры (версия 1)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29"/>
          <w:p>
            <w:pPr>
              <w:pStyle w:val="Compact"/>
              <w:jc w:val="center"/>
            </w:pPr>
            <w:r>
              <w:drawing>
                <wp:inline>
                  <wp:extent cx="3733800" cy="43927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29: Фрагмент литературного кода модели Лотки-Вольтерры (версия 2)</w:t>
            </w:r>
          </w:p>
          <w:bookmarkEnd w:id="1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0"/>
          <w:p>
            <w:pPr>
              <w:pStyle w:val="Compact"/>
              <w:jc w:val="center"/>
            </w:pPr>
            <w:r>
              <w:drawing>
                <wp:inline>
                  <wp:extent cx="3733800" cy="696132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6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30: Фрагмент литературного кода модели Лотки-Вольтерры (версия 3)</w:t>
            </w:r>
          </w:p>
          <w:bookmarkEnd w:id="150"/>
        </w:tc>
      </w:tr>
    </w:tbl>
    <w:p>
      <w:pPr>
        <w:pStyle w:val="BodyText"/>
      </w:pP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я сгенерировал из литературного кода чистый код, Jupyter Notebook и Quarto-документацию (рис.</w:t>
      </w:r>
      <w:r>
        <w:t xml:space="preserve"> </w:t>
      </w:r>
      <w:hyperlink w:anchor="fig-031">
        <w:r>
          <w:rPr>
            <w:rStyle w:val="Hyperlink"/>
          </w:rPr>
          <w:t xml:space="preserve">Figure 31</w:t>
        </w:r>
      </w:hyperlink>
      <w:r>
        <w:t xml:space="preserve">). Все форматы были успешно созданы.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1"/>
          <w:p>
            <w:pPr>
              <w:pStyle w:val="Compact"/>
              <w:jc w:val="center"/>
            </w:pPr>
            <w:r>
              <w:drawing>
                <wp:inline>
                  <wp:extent cx="3733800" cy="2679362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9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31: Генерация производных форматов для модели Лотки-Вольтерры</w:t>
            </w:r>
          </w:p>
          <w:bookmarkEnd w:id="154"/>
        </w:tc>
      </w:tr>
    </w:tbl>
    <w:p>
      <w:pPr>
        <w:pStyle w:val="BodyText"/>
      </w:pPr>
      <w:r>
        <w:t xml:space="preserve">Запускаю сгенерированный Jupyter Notebook</w:t>
      </w:r>
      <w:r>
        <w:t xml:space="preserve"> </w:t>
      </w:r>
      <w:r>
        <w:rPr>
          <w:rStyle w:val="VerbatimChar"/>
        </w:rPr>
        <w:t xml:space="preserve">lv_literate.ipynb</w:t>
      </w:r>
      <w:r>
        <w:t xml:space="preserve"> </w:t>
      </w:r>
      <w:r>
        <w:t xml:space="preserve">(рис.</w:t>
      </w:r>
      <w:r>
        <w:t xml:space="preserve"> </w:t>
      </w:r>
      <w:hyperlink w:anchor="fig-032">
        <w:r>
          <w:rPr>
            <w:rStyle w:val="Hyperlink"/>
          </w:rPr>
          <w:t xml:space="preserve">Figure 32</w:t>
        </w:r>
      </w:hyperlink>
      <w:r>
        <w:t xml:space="preserve">). Сервер Jupyter запускается, и я могу открыть файл в браузере для интерактивной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2"/>
          <w:p>
            <w:pPr>
              <w:pStyle w:val="Compact"/>
              <w:jc w:val="center"/>
            </w:pPr>
            <w:r>
              <w:drawing>
                <wp:inline>
                  <wp:extent cx="3733800" cy="2113586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32: Запуск Jupyter Notebook для модели Лотки-Вольтерры</w:t>
            </w:r>
          </w:p>
          <w:bookmarkEnd w:id="158"/>
        </w:tc>
      </w:tr>
    </w:tbl>
    <w:p>
      <w:pPr>
        <w:pStyle w:val="BodyText"/>
      </w:pPr>
      <w:r>
        <w:t xml:space="preserve">Файл Jupyter Notebook открыт и готов к выполнению (рис.</w:t>
      </w:r>
      <w:r>
        <w:t xml:space="preserve"> </w:t>
      </w:r>
      <w:hyperlink w:anchor="fig-033">
        <w:r>
          <w:rPr>
            <w:rStyle w:val="Hyperlink"/>
          </w:rPr>
          <w:t xml:space="preserve">Figure 33</w:t>
        </w:r>
      </w:hyperlink>
      <w:r>
        <w:t xml:space="preserve">). Все ячейки с кодом и пояснениями корректно отображаются.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3"/>
          <w:p>
            <w:pPr>
              <w:pStyle w:val="Compact"/>
              <w:jc w:val="center"/>
            </w:pPr>
            <w:r>
              <w:drawing>
                <wp:inline>
                  <wp:extent cx="3733800" cy="2113586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3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33: Содержимое файла lv_literate.ipynb в Jupyter Notebook</w:t>
            </w:r>
          </w:p>
          <w:bookmarkEnd w:id="162"/>
        </w:tc>
      </w:tr>
    </w:tbl>
    <w:bookmarkEnd w:id="163"/>
    <w:bookmarkEnd w:id="164"/>
    <w:bookmarkStart w:id="16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успешно реализованы две классические модели: эпидемиологическая модель SIR и экологическая модель Лотки-Вольтерры.</w:t>
      </w:r>
    </w:p>
    <w:p>
      <w:pPr>
        <w:pStyle w:val="BodyText"/>
      </w:pPr>
      <w:r>
        <w:t xml:space="preserve">Для модели SIR были получены и проанализированы графики динамики популяций, числа инфицированных, эффективного репродуктивного числа. Подтверждено, что пик эпидемии наступает при ( R_e = 1 ), а порог коллективного иммунитета составляет ( 1-1/R_0 ). Экспоненциальный рост на начальном этапе был верифицирован с помощью графика в логарифмическом масштабе.</w:t>
      </w:r>
    </w:p>
    <w:p>
      <w:pPr>
        <w:pStyle w:val="BodyText"/>
      </w:pPr>
      <w:r>
        <w:t xml:space="preserve">Для модели Лотки-Вольтерры получены циклические решения, соответствующие теоретическим представлениям. Рассчитанные стационарные точки совпали с ожидаемыми значениями ( x^* =</w:t>
      </w:r>
      <w:r>
        <w:t xml:space="preserve"> </w:t>
      </w:r>
      <w:r>
        <w:t xml:space="preserve">/</w:t>
      </w:r>
      <w:r>
        <w:t xml:space="preserve">) и ( y^* =</w:t>
      </w:r>
      <w:r>
        <w:t xml:space="preserve"> </w:t>
      </w:r>
      <w:r>
        <w:t xml:space="preserve">/</w:t>
      </w:r>
      <w:r>
        <w:t xml:space="preserve">). Фазовый портрет и спектральный анализ подтвердили колебательный характер системы и позволили определить период колебаний.</w:t>
      </w:r>
    </w:p>
    <w:p>
      <w:pPr>
        <w:pStyle w:val="BodyText"/>
      </w:pPr>
      <w:r>
        <w:t xml:space="preserve">Код для обеих моделей был оформлен в литературном стиле с использованием Literate.jl, что позволило сгенерировать из одного исходного файла чистый код, Jupyter Notebook и документ Quarto. Это демонстрирует преимущества подхода литературного программирования для воспроизводимых научных исследований.</w:t>
      </w:r>
    </w:p>
    <w:p>
      <w:pPr>
        <w:pStyle w:val="BodyText"/>
      </w:pPr>
      <w:r>
        <w:t xml:space="preserve">Все поставленные задачи выполнены, полученные результаты визуализированы и проанализированы.</w:t>
      </w:r>
    </w:p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34" Target="media/rId34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38" Target="media/rId38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София Черная</dc:creator>
  <cp:keywords/>
  <dcterms:created xsi:type="dcterms:W3CDTF">2026-03-07T20:20:49Z</dcterms:created>
  <dcterms:modified xsi:type="dcterms:W3CDTF">2026-03-07T20:20:49Z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Модель SIR и модель Лотки-Вольтерры</vt:lpwstr>
  </property>
  <property fmtid="{D5CDD505-2E9C-101B-9397-08002B2CF9AE}" pid="12" name="toc-title">
    <vt:lpwstr>Table of contents</vt:lpwstr>
  </property>
</Properties>
</file>