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A3A" w:rsidRDefault="00157133" w:rsidP="00981A3A">
      <w:pPr>
        <w:pStyle w:val="Kop2"/>
      </w:pPr>
      <w:r>
        <w:t>Case study: adsorption kinetics</w:t>
      </w:r>
    </w:p>
    <w:p w:rsidR="00157133" w:rsidRDefault="00157133" w:rsidP="00157133">
      <w:r>
        <w:t xml:space="preserve">Ovalbumin, a protein from chicken egg white, adsorbs spontaneously on the air/water interface </w:t>
      </w:r>
      <w:r w:rsidR="00B666CC">
        <w:t xml:space="preserve">due to hydrophobic interactions </w:t>
      </w:r>
      <w:r>
        <w:t xml:space="preserve">[3]. </w:t>
      </w:r>
      <w:r w:rsidR="005B059D">
        <w:t xml:space="preserve">Interfacial adsorption kinetics and their underlying mechanisms are crucial to the stability of colloidal systems. However, they are poorly understood and difficult to measure. </w:t>
      </w:r>
      <w:proofErr w:type="spellStart"/>
      <w:r w:rsidR="00981A3A">
        <w:t>D</w:t>
      </w:r>
      <w:r w:rsidR="00D7209E">
        <w:t>rension</w:t>
      </w:r>
      <w:proofErr w:type="spellEnd"/>
      <w:r w:rsidR="005B059D">
        <w:t xml:space="preserve"> is a useful tool to study these interfacial phenomena</w:t>
      </w:r>
      <w:r w:rsidR="00D7209E">
        <w:t>.</w:t>
      </w:r>
      <w:r>
        <w:t xml:space="preserve"> </w:t>
      </w:r>
    </w:p>
    <w:p w:rsidR="00D7209E" w:rsidRDefault="00D7209E" w:rsidP="00157133">
      <w:r>
        <w:t>In order to follow the adsorption kinetics of albumin, we propose the following model based on the Cassie-Baxter theory:</w:t>
      </w:r>
    </w:p>
    <w:p w:rsidR="00D7209E" w:rsidRDefault="00D7209E" w:rsidP="00981A3A">
      <w:pPr>
        <w:jc w:val="center"/>
      </w:pPr>
      <w:r w:rsidRPr="00D7209E">
        <w:drawing>
          <wp:inline distT="0" distB="0" distL="0" distR="0" wp14:anchorId="76084D94" wp14:editId="6D55C8AC">
            <wp:extent cx="2952750" cy="209609"/>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4"/>
                    <a:stretch>
                      <a:fillRect/>
                    </a:stretch>
                  </pic:blipFill>
                  <pic:spPr>
                    <a:xfrm>
                      <a:off x="0" y="0"/>
                      <a:ext cx="3425796" cy="243189"/>
                    </a:xfrm>
                    <a:prstGeom prst="rect">
                      <a:avLst/>
                    </a:prstGeom>
                  </pic:spPr>
                </pic:pic>
              </a:graphicData>
            </a:graphic>
          </wp:inline>
        </w:drawing>
      </w:r>
    </w:p>
    <w:p w:rsidR="00D7209E" w:rsidRDefault="00D7209E" w:rsidP="00D7209E">
      <w:r w:rsidRPr="00D7209E">
        <w:t xml:space="preserve">where </w:t>
      </w:r>
      <w:r w:rsidRPr="00D7209E">
        <w:rPr>
          <w:rFonts w:ascii="Cambria Math" w:hAnsi="Cambria Math" w:cs="Cambria Math"/>
        </w:rPr>
        <w:t>𝛾</w:t>
      </w:r>
      <w:r w:rsidRPr="00D7209E">
        <w:t xml:space="preserve">(0) is the surface tension of a droplet without protein and </w:t>
      </w:r>
      <w:r w:rsidRPr="00D7209E">
        <w:rPr>
          <w:rFonts w:ascii="Cambria Math" w:hAnsi="Cambria Math" w:cs="Cambria Math"/>
        </w:rPr>
        <w:t>𝛾</w:t>
      </w:r>
      <w:r w:rsidRPr="00D7209E">
        <w:t>(∞) is the surface tension of a water-air interface packed at equilibrium. As the adsorption is assumed to be diffusion-controlled, we pose</w:t>
      </w:r>
    </w:p>
    <w:p w:rsidR="00981A3A" w:rsidRDefault="00981A3A" w:rsidP="00981A3A">
      <w:pPr>
        <w:jc w:val="center"/>
      </w:pPr>
      <w:r w:rsidRPr="00981A3A">
        <w:drawing>
          <wp:inline distT="0" distB="0" distL="0" distR="0" wp14:anchorId="3FD6ABE9" wp14:editId="298DE954">
            <wp:extent cx="1809750" cy="376863"/>
            <wp:effectExtent l="0" t="0" r="0" b="4445"/>
            <wp:docPr id="1026" name="Picture 2" descr="https://latex.codecogs.com/gif.latex?%5Cdpi%7B300%7D%20%5Chuge%20%5Ctheta%28t%29%20%3D%20%5Cexp%20%5Cleft%28%7B-%5Csqrt%7Bt/T%7D%7D%5Cright%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latex.codecogs.com/gif.latex?%5Cdpi%7B300%7D%20%5Chuge%20%5Ctheta%28t%29%20%3D%20%5Cexp%20%5Cleft%28%7B-%5Csqrt%7Bt/T%7D%7D%5Cright%20%2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5623" cy="392663"/>
                    </a:xfrm>
                    <a:prstGeom prst="rect">
                      <a:avLst/>
                    </a:prstGeom>
                    <a:noFill/>
                    <a:extLst/>
                  </pic:spPr>
                </pic:pic>
              </a:graphicData>
            </a:graphic>
          </wp:inline>
        </w:drawing>
      </w:r>
    </w:p>
    <w:p w:rsidR="00981A3A" w:rsidRDefault="00981A3A" w:rsidP="00981A3A">
      <w:r w:rsidRPr="00981A3A">
        <w:t xml:space="preserve">with </w:t>
      </w:r>
      <m:oMath>
        <m:r>
          <w:rPr>
            <w:rFonts w:ascii="Cambria Math" w:hAnsi="Cambria Math"/>
          </w:rPr>
          <m:t>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m:rPr>
                    <m:sty m:val="p"/>
                  </m:rPr>
                  <w:rPr>
                    <w:rFonts w:ascii="Cambria Math" w:hAnsi="Cambria Math"/>
                  </w:rPr>
                  <m:t>Γ</m:t>
                </m:r>
              </m:e>
              <m:sub>
                <m:r>
                  <w:rPr>
                    <w:rFonts w:ascii="Cambria Math" w:hAnsi="Cambria Math"/>
                  </w:rPr>
                  <m:t>f</m:t>
                </m:r>
              </m:sub>
              <m:sup>
                <m:r>
                  <w:rPr>
                    <w:rFonts w:ascii="Cambria Math" w:hAnsi="Cambria Math"/>
                  </w:rPr>
                  <m:t>2</m:t>
                </m:r>
              </m:sup>
            </m:sSubSup>
          </m:num>
          <m:den>
            <m:r>
              <w:rPr>
                <w:rFonts w:ascii="Cambria Math" w:hAnsi="Cambria Math"/>
              </w:rPr>
              <m:t>4D</m:t>
            </m:r>
            <m:sSup>
              <m:sSupPr>
                <m:ctrlPr>
                  <w:rPr>
                    <w:rFonts w:ascii="Cambria Math" w:hAnsi="Cambria Math"/>
                    <w:i/>
                    <w:iCs/>
                  </w:rPr>
                </m:ctrlPr>
              </m:sSupPr>
              <m:e>
                <m:r>
                  <w:rPr>
                    <w:rFonts w:ascii="Cambria Math" w:hAnsi="Cambria Math"/>
                  </w:rPr>
                  <m:t>c</m:t>
                </m:r>
              </m:e>
              <m:sup>
                <m:r>
                  <w:rPr>
                    <w:rFonts w:ascii="Cambria Math" w:hAnsi="Cambria Math"/>
                  </w:rPr>
                  <m:t>2</m:t>
                </m:r>
              </m:sup>
            </m:sSup>
          </m:den>
        </m:f>
      </m:oMath>
      <w:r w:rsidRPr="00981A3A">
        <w:rPr>
          <w:lang w:val="el-GR"/>
        </w:rPr>
        <w:t xml:space="preserve"> </w:t>
      </w:r>
      <w:r w:rsidRPr="00981A3A">
        <w:t>where D denotes the diffusion coefficient (m</w:t>
      </w:r>
      <w:r w:rsidRPr="00981A3A">
        <w:rPr>
          <w:vertAlign w:val="superscript"/>
        </w:rPr>
        <w:t>2</w:t>
      </w:r>
      <w:r w:rsidRPr="00981A3A">
        <w:t>/s) ,c the bulk concentration (m</w:t>
      </w:r>
      <w:r w:rsidRPr="00981A3A">
        <w:rPr>
          <w:vertAlign w:val="superscript"/>
        </w:rPr>
        <w:t>-3</w:t>
      </w:r>
      <w:r w:rsidRPr="00981A3A">
        <w:t xml:space="preserve">) and </w:t>
      </w:r>
      <m:oMath>
        <m:sSub>
          <m:sSubPr>
            <m:ctrlPr>
              <w:rPr>
                <w:rFonts w:ascii="Cambria Math" w:hAnsi="Cambria Math"/>
                <w:i/>
                <w:iCs/>
              </w:rPr>
            </m:ctrlPr>
          </m:sSubPr>
          <m:e>
            <m:r>
              <m:rPr>
                <m:sty m:val="p"/>
              </m:rPr>
              <w:rPr>
                <w:rFonts w:ascii="Cambria Math" w:hAnsi="Cambria Math"/>
              </w:rPr>
              <m:t>Γ</m:t>
            </m:r>
          </m:e>
          <m:sub>
            <m:r>
              <w:rPr>
                <w:rFonts w:ascii="Cambria Math" w:hAnsi="Cambria Math"/>
              </w:rPr>
              <m:t>f</m:t>
            </m:r>
          </m:sub>
        </m:sSub>
      </m:oMath>
      <w:r w:rsidRPr="00981A3A">
        <w:t xml:space="preserve"> a Langmuir parameter (m</w:t>
      </w:r>
      <w:r w:rsidRPr="00981A3A">
        <w:rPr>
          <w:vertAlign w:val="superscript"/>
        </w:rPr>
        <w:t>-2</w:t>
      </w:r>
      <w:r w:rsidRPr="00981A3A">
        <w:t>) [5]. From figure 4, it becomes evident that the adsorption dynamics</w:t>
      </w:r>
      <w:r>
        <w:t xml:space="preserve"> </w:t>
      </w:r>
      <w:r w:rsidRPr="00981A3A">
        <w:t xml:space="preserve">observed by </w:t>
      </w:r>
      <w:proofErr w:type="spellStart"/>
      <w:r w:rsidRPr="00981A3A">
        <w:t>Drension</w:t>
      </w:r>
      <w:proofErr w:type="spellEnd"/>
      <w:r w:rsidRPr="00981A3A">
        <w:t xml:space="preserve"> are described reasonably well by our proposed diffusion-limited adsorption model. </w:t>
      </w:r>
    </w:p>
    <w:p w:rsidR="005B059D" w:rsidRDefault="005B059D" w:rsidP="005B059D">
      <w:pPr>
        <w:pStyle w:val="Kop2"/>
      </w:pPr>
      <w:r>
        <w:t>Methodology</w:t>
      </w:r>
    </w:p>
    <w:p w:rsidR="005B059D" w:rsidRDefault="005B059D" w:rsidP="005B059D">
      <w:r w:rsidRPr="005B059D">
        <w:t xml:space="preserve">The shape of a pendant drop depends on the Bond number (Bo), which is </w:t>
      </w:r>
      <w:r w:rsidR="00B666CC">
        <w:t>a number describing the</w:t>
      </w:r>
      <w:r w:rsidRPr="005B059D">
        <w:t xml:space="preserve">  balance between the Laplace pressure and gravity.</w:t>
      </w:r>
    </w:p>
    <w:p w:rsidR="005B059D" w:rsidRPr="005B059D" w:rsidRDefault="005B059D" w:rsidP="005B059D">
      <w:pPr>
        <w:jc w:val="center"/>
        <w:rPr>
          <w:color w:val="FF0000"/>
        </w:rPr>
      </w:pPr>
      <w:r>
        <w:rPr>
          <w:color w:val="FF0000"/>
        </w:rPr>
        <w:t>FORMULA</w:t>
      </w:r>
    </w:p>
    <w:p w:rsidR="005B059D" w:rsidRPr="005B059D" w:rsidRDefault="005B059D" w:rsidP="005B059D">
      <w:r w:rsidRPr="005B059D">
        <w:t xml:space="preserve">The surface tension of a droplet can be calculated </w:t>
      </w:r>
      <w:r w:rsidR="00B666CC">
        <w:t>from</w:t>
      </w:r>
      <w:r w:rsidRPr="005B059D">
        <w:t xml:space="preserve"> the drop radius R0 at the apex and Bond number associated with the dr</w:t>
      </w:r>
      <w:bookmarkStart w:id="0" w:name="_GoBack"/>
      <w:bookmarkEnd w:id="0"/>
      <w:r w:rsidRPr="005B059D">
        <w:t xml:space="preserve">oplet. </w:t>
      </w:r>
      <w:r w:rsidR="006F1CCB">
        <w:t xml:space="preserve">Both the size and the bond number of the droplet can be calculated using pendant drop tensiometry. The size can easily be found by comparing the droplet to an object of known size (in our case the needle) and the bond number can be determined by fitting the droplet profile with the Young-Laplace equation. </w:t>
      </w:r>
      <w:r w:rsidRPr="005B059D">
        <w:t xml:space="preserve">This fitting process is shown in Figure 3. </w:t>
      </w:r>
      <w:r w:rsidR="006F1CCB">
        <w:t>The accuracy of the measurement can be determined by averaging.</w:t>
      </w:r>
      <w:r w:rsidRPr="005B059D">
        <w:t xml:space="preserve"> </w:t>
      </w:r>
      <w:r w:rsidR="006343C8">
        <w:t xml:space="preserve">With </w:t>
      </w:r>
      <w:proofErr w:type="spellStart"/>
      <w:r w:rsidR="006343C8">
        <w:t>Drension</w:t>
      </w:r>
      <w:proofErr w:type="spellEnd"/>
      <w:r w:rsidR="006F1CCB">
        <w:t>,</w:t>
      </w:r>
      <w:r w:rsidRPr="005B059D">
        <w:t xml:space="preserve"> a very reasonable estimate for the surface tension of water was found</w:t>
      </w:r>
      <w:r w:rsidR="006343C8">
        <w:t xml:space="preserve"> after only </w:t>
      </w:r>
      <w:r w:rsidR="006343C8" w:rsidRPr="005B059D">
        <w:t>1.5 seconds</w:t>
      </w:r>
      <w:r w:rsidRPr="005B059D">
        <w:t xml:space="preserve"> (Figure 1).</w:t>
      </w:r>
    </w:p>
    <w:p w:rsidR="005B059D" w:rsidRPr="005B059D" w:rsidRDefault="005B059D" w:rsidP="005B059D"/>
    <w:p w:rsidR="00D7209E" w:rsidRPr="00157133" w:rsidRDefault="00D7209E" w:rsidP="00157133"/>
    <w:sectPr w:rsidR="00D7209E" w:rsidRPr="001571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33"/>
    <w:rsid w:val="00146EA5"/>
    <w:rsid w:val="00157133"/>
    <w:rsid w:val="005B059D"/>
    <w:rsid w:val="00605207"/>
    <w:rsid w:val="006343C8"/>
    <w:rsid w:val="006F1CCB"/>
    <w:rsid w:val="007E109E"/>
    <w:rsid w:val="00981A3A"/>
    <w:rsid w:val="00A15760"/>
    <w:rsid w:val="00B666CC"/>
    <w:rsid w:val="00D7209E"/>
    <w:rsid w:val="00FB3B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E363"/>
  <w15:chartTrackingRefBased/>
  <w15:docId w15:val="{D052C408-A23F-4426-8817-66DA2CA1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2">
    <w:name w:val="heading 2"/>
    <w:basedOn w:val="Standaard"/>
    <w:next w:val="Standaard"/>
    <w:link w:val="Kop2Char"/>
    <w:uiPriority w:val="9"/>
    <w:unhideWhenUsed/>
    <w:qFormat/>
    <w:rsid w:val="00157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57133"/>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596659">
      <w:bodyDiv w:val="1"/>
      <w:marLeft w:val="0"/>
      <w:marRight w:val="0"/>
      <w:marTop w:val="0"/>
      <w:marBottom w:val="0"/>
      <w:divBdr>
        <w:top w:val="none" w:sz="0" w:space="0" w:color="auto"/>
        <w:left w:val="none" w:sz="0" w:space="0" w:color="auto"/>
        <w:bottom w:val="none" w:sz="0" w:space="0" w:color="auto"/>
        <w:right w:val="none" w:sz="0" w:space="0" w:color="auto"/>
      </w:divBdr>
    </w:div>
    <w:div w:id="198300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291</Words>
  <Characters>1604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Zoe</dc:creator>
  <cp:keywords/>
  <dc:description/>
  <cp:lastModifiedBy>Peters, Zoe</cp:lastModifiedBy>
  <cp:revision>3</cp:revision>
  <dcterms:created xsi:type="dcterms:W3CDTF">2018-04-25T12:07:00Z</dcterms:created>
  <dcterms:modified xsi:type="dcterms:W3CDTF">2018-04-25T14:00:00Z</dcterms:modified>
</cp:coreProperties>
</file>