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cs="Arial" w:ascii="Arial" w:hAnsi="Arial"/>
          <w:b/>
          <w:bCs/>
          <w:sz w:val="28"/>
        </w:rPr>
        <w:t xml:space="preserve">The story of the parrot </w:t>
      </w:r>
    </w:p>
    <w:p>
      <w:pPr>
        <w:pStyle w:val="Normal"/>
        <w:ind w:hanging="720" w:left="720"/>
        <w:jc w:val="center"/>
        <w:rPr>
          <w:lang w:val="en-US"/>
        </w:rPr>
      </w:pPr>
      <w:r>
        <w:rPr>
          <w:lang w:val="en-US"/>
        </w:rPr>
        <w:t>told by Chaw Kyun Chowlik</w:t>
      </w:r>
    </w:p>
    <w:p>
      <w:pPr>
        <w:pStyle w:val="Normal"/>
        <w:ind w:hanging="720" w:left="720"/>
        <w:rPr>
          <w:lang w:val="en-US"/>
        </w:rPr>
      </w:pPr>
      <w:r>
        <w:rPr>
          <w:lang w:val="en-US"/>
        </w:rPr>
      </w:r>
    </w:p>
    <w:p>
      <w:pPr>
        <w:pStyle w:val="Normal"/>
        <w:ind w:hanging="720" w:left="720"/>
        <w:rPr>
          <w:lang w:val="en-US"/>
        </w:rPr>
      </w:pPr>
      <w:r>
        <w:rPr>
          <w:lang w:val="en-US"/>
        </w:rPr>
        <w:t>Note: this is a very rough transcription of the story, although the entire Tai text is transcribed using the Tai writing system.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85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1998"/>
        <w:gridCol w:w="6523"/>
      </w:tblGrid>
      <w:tr>
        <w:trPr/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Text number</w:t>
            </w:r>
          </w:p>
        </w:tc>
        <w:tc>
          <w:tcPr>
            <w:tcW w:w="6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SDM03-2007-001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</w:t>
            </w:r>
          </w:p>
        </w:tc>
        <w:tc>
          <w:tcPr>
            <w:tcW w:w="6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The story of the parrot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Informant</w:t>
            </w:r>
          </w:p>
        </w:tc>
        <w:tc>
          <w:tcPr>
            <w:tcW w:w="6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Chaw Kyun Chowlik (Deben)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Place</w:t>
            </w:r>
          </w:p>
        </w:tc>
        <w:tc>
          <w:tcPr>
            <w:tcW w:w="6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US"/>
              </w:rPr>
            </w:pPr>
            <w:r>
              <w:rPr>
                <w:lang w:val="en-US"/>
              </w:rPr>
              <w:t>Pawaimukh Village, Margherita, Tinsukia District, Assam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Author</w:t>
            </w:r>
          </w:p>
        </w:tc>
        <w:tc>
          <w:tcPr>
            <w:tcW w:w="6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He read this story in a book.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Date of recording</w:t>
            </w:r>
          </w:p>
        </w:tc>
        <w:tc>
          <w:tcPr>
            <w:tcW w:w="6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Other Transcriptions</w:t>
            </w:r>
          </w:p>
        </w:tc>
        <w:tc>
          <w:tcPr>
            <w:tcW w:w="6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Translation</w:t>
            </w:r>
          </w:p>
        </w:tc>
        <w:tc>
          <w:tcPr>
            <w:tcW w:w="6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Translated with the assistance of Chaichuen Khamdaengyodtai, Chaw Kyun Chowlik and Chaw Mihingta Chowlik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Publication details</w:t>
            </w:r>
          </w:p>
        </w:tc>
        <w:tc>
          <w:tcPr>
            <w:tcW w:w="6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details</w:t>
            </w:r>
          </w:p>
        </w:tc>
        <w:tc>
          <w:tcPr>
            <w:tcW w:w="6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length</w:t>
            </w:r>
          </w:p>
        </w:tc>
        <w:tc>
          <w:tcPr>
            <w:tcW w:w="6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4’00”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Wave file</w:t>
            </w:r>
          </w:p>
        </w:tc>
        <w:tc>
          <w:tcPr>
            <w:tcW w:w="6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 of this document</w:t>
            </w:r>
          </w:p>
        </w:tc>
        <w:tc>
          <w:tcPr>
            <w:tcW w:w="6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Format of document</w:t>
            </w:r>
          </w:p>
        </w:tc>
        <w:tc>
          <w:tcPr>
            <w:tcW w:w="6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Word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Special fonts used</w:t>
            </w:r>
          </w:p>
        </w:tc>
        <w:tc>
          <w:tcPr>
            <w:tcW w:w="6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phake.ttf, banchob.ttf, shan.ttf,</w:t>
            </w:r>
          </w:p>
        </w:tc>
      </w:tr>
    </w:tbl>
    <w:p>
      <w:pPr>
        <w:pStyle w:val="Normal"/>
        <w:rPr>
          <w:lang w:val="en-AU"/>
        </w:rPr>
      </w:pPr>
      <w:r>
        <w:rPr>
          <w:lang w:val="en-AU"/>
        </w:rPr>
      </w:r>
      <w:r>
        <w:br w:type="page"/>
      </w:r>
    </w:p>
    <w:p>
      <w:pPr>
        <w:pStyle w:val="Normal"/>
        <w:rPr>
          <w:lang w:val="en-AU"/>
        </w:rPr>
      </w:pPr>
      <w:r>
        <w:rPr>
          <w:lang w:val="en-AU"/>
        </w:rPr>
        <w:t>TEXT:</w:t>
      </w:r>
    </w:p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rPr>
          <w:rFonts w:ascii="Phake Script" w:hAnsi="Phake Script"/>
        </w:rPr>
      </w:pPr>
      <w:r>
        <w:rPr>
          <w:rFonts w:ascii="Phake Script" w:hAnsi="Phake Script"/>
          <w:sz w:val="48"/>
          <w:szCs w:val="48"/>
        </w:rPr>
        <w:t>mJnqcWfako ugqcJwqmJnq[pamattqwoasItIcWfaAnqygqwj / cWfaligqlukqtitqwj / ngqkWtImJgqnnqLjAakisgqAnqmukqsJwql ...mJnqeAaligqwjluktYitqwnqcWfakaelmJgqkakaelmJgqkaeAkavJgqhJnqkukqsJwqAa / mukqsJwqAnqligqlukqtYitq / tnqhUeAahgqcWfa gq...tnqpImapIma / kunqvamgqsiwqAasiwqAatupqAatupqAaxoMfnqenlukqtYitqwoahgqcWfanMmJwqnnqcWfakaxoyqeAkaelka / elmJgqyWeAnoj / mJnqpokqmatIhJnq / lukqcWfaenwoaeAamEcWmaAamamacuwqwnqnjkavawjtIvakaelwj / lIlI / hgqmJnqkisgqto ugqtnqlukq gqhgqcWfa / mJwqnnqcWfawahJnqkunqmXnI...hJnqkunqAnq...cEmutqcEtnqeAsupqxoMminI / AnqhjAnqcaAnqpWAnqtnqnjxWLjwanMsonqngqFnqnjLjlukqlnqeAafnqcJwqeAaxnqminIljsgqAnqminIsgqsonq / hJnqkunqlIxoMlIsupqlIvugqlIeAAnqhkqAnqhoMAnqmtqAnqyMtgqlugqeAaliNqnMlJwqpJwq nnqpinqkunqeAmJnqAnqqlJgqpUutUmJnqfEpUtUxWluwqkunlItImJgqcWfaNgqsgqpaAUtIkunqhUkunqcgqNgqsgqpaAU / pahWtIvnqpaetmnqpaAU / kunqcWyacWwnqNgqsgqtIvnqsgqpaAUtIkunqhUkunqcgqcWeA...cWknqnaeptgqsJwqkunqhUkunqcgqAnqNnqsItIxMmJgqfnqnnqxWsgqpaAUwoatIkunqeAnjepapUwoama...woamaeAa / lJwqpJwq nnqlukqnnqxasogqtUyalukqhuMfnqlukqtYitq / sogqxaeAkunqtnqxoMminIpWTnqhgqpJnq / AJwqxanWto ugqeAhkxoMmtqyMhogqhkq...hgqpIn ...ngqfnqnjhgqxYikqhgqyJwqhgqcWhgqpJnqeAalJwqpJw nnqfEElcanatapjpinqkunqlIeAtgqkunqlIsgqwoaliNqsjho ugqSatgqAnqlIhaepaljkunqlIwoahaepahUmJwqkunqlukunqlIsgq / luwqkunqpiNasISgqwoasWwoaluNqfEelnnqxWAJgqhUAJgqtogqAamJnqeltgqpJnqAatgqkunqmInIAakunqlIfalEpinqminIeAamJnq...hgqmJnqeAasjho ugqminImJnqwoaljeAalJwqpJwq njlukqlnqpUtUpInogqpUtUvugqnjxWvugqlIsgqcoMeAeltanjwoahEeAa</w:t>
      </w:r>
    </w:p>
    <w:p>
      <w:pPr>
        <w:pStyle w:val="Normal"/>
        <w:rPr>
          <w:sz w:val="48"/>
          <w:szCs w:val="48"/>
          <w:lang w:val="en-AU"/>
        </w:rPr>
      </w:pPr>
      <w:r>
        <w:rPr>
          <w:sz w:val="48"/>
          <w:szCs w:val="48"/>
          <w:lang w:val="en-AU"/>
        </w:rPr>
      </w:r>
      <w:r>
        <w:br w:type="page"/>
      </w:r>
    </w:p>
    <w:p>
      <w:pPr>
        <w:pStyle w:val="Normal"/>
        <w:rPr>
          <w:lang w:val="en-AU"/>
        </w:rPr>
      </w:pPr>
      <w:bookmarkStart w:id="0" w:name="Analysis"/>
      <w:bookmarkEnd w:id="0"/>
      <w:r>
        <w:rPr>
          <w:lang w:val="en-AU"/>
        </w:rPr>
        <w:t>ANALYSIS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  <w:t>SM</w:t>
      </w:r>
    </w:p>
    <w:tbl>
      <w:tblPr>
        <w:tblW w:w="85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720"/>
        <w:gridCol w:w="975"/>
        <w:gridCol w:w="974"/>
        <w:gridCol w:w="975"/>
        <w:gridCol w:w="975"/>
        <w:gridCol w:w="975"/>
        <w:gridCol w:w="975"/>
        <w:gridCol w:w="977"/>
        <w:gridCol w:w="975"/>
      </w:tblGrid>
      <w:tr>
        <w:trPr/>
        <w:tc>
          <w:tcPr>
            <w:tcW w:w="720" w:type="dxa"/>
            <w:tcBorders/>
            <w:vAlign w:val="center"/>
          </w:tcPr>
          <w:p>
            <w:pPr>
              <w:pStyle w:val="KhamyangText"/>
              <w:rPr/>
            </w:pPr>
            <w:r>
              <w:rPr/>
              <w:fldChar w:fldCharType="begin"/>
            </w:r>
            <w:r>
              <w:rPr/>
              <w:instrText xml:space="preserve"> SEQ Ex \* ARABIC </w:instrText>
            </w:r>
            <w:r>
              <w:rPr/>
              <w:fldChar w:fldCharType="separate"/>
            </w:r>
            <w:r>
              <w:rPr/>
              <w:t>1</w:t>
            </w:r>
            <w:r>
              <w:rPr/>
              <w:fldChar w:fldCharType="end"/>
            </w:r>
            <w:r>
              <w:rPr/>
              <w:t>)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yW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eka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KhamyangPhonemic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KhamyangPhonemic"/>
              <w:rPr>
                <w:rFonts w:ascii="Banchob" w:hAnsi="Banchob"/>
              </w:rPr>
            </w:pPr>
            <w:r>
              <w:rPr>
                <w:rFonts w:ascii="Banchob" w:hAnsi="Banchob"/>
              </w:rPr>
            </w:r>
          </w:p>
        </w:tc>
        <w:tc>
          <w:tcPr>
            <w:tcW w:w="974" w:type="dxa"/>
            <w:tcBorders/>
          </w:tcPr>
          <w:p>
            <w:pPr>
              <w:pStyle w:val="KhamyangPhonemic"/>
              <w:rPr>
                <w:rFonts w:ascii="Banchob" w:hAnsi="Banchob"/>
              </w:rPr>
            </w:pPr>
            <w:r>
              <w:rPr>
                <w:rFonts w:ascii="Banchob" w:hAnsi="Banchob"/>
              </w:rPr>
            </w:r>
          </w:p>
        </w:tc>
        <w:tc>
          <w:tcPr>
            <w:tcW w:w="975" w:type="dxa"/>
            <w:tcBorders/>
          </w:tcPr>
          <w:p>
            <w:pPr>
              <w:pStyle w:val="KhamyangPhonemic"/>
              <w:rPr>
                <w:rFonts w:ascii="Banchob" w:hAnsi="Banchob"/>
              </w:rPr>
            </w:pPr>
            <w:r>
              <w:rPr>
                <w:rFonts w:ascii="Banchob" w:hAnsi="Banchob"/>
              </w:rPr>
            </w:r>
          </w:p>
        </w:tc>
        <w:tc>
          <w:tcPr>
            <w:tcW w:w="975" w:type="dxa"/>
            <w:tcBorders/>
          </w:tcPr>
          <w:p>
            <w:pPr>
              <w:pStyle w:val="KhamyangPhonemic"/>
              <w:rPr>
                <w:rFonts w:ascii="Banchob" w:hAnsi="Banchob"/>
              </w:rPr>
            </w:pPr>
            <w:r>
              <w:rPr>
                <w:rFonts w:ascii="Banchob" w:hAnsi="Banchob"/>
              </w:rPr>
            </w:r>
          </w:p>
        </w:tc>
        <w:tc>
          <w:tcPr>
            <w:tcW w:w="975" w:type="dxa"/>
            <w:tcBorders/>
          </w:tcPr>
          <w:p>
            <w:pPr>
              <w:pStyle w:val="KhamyangPhonemic"/>
              <w:rPr>
                <w:rFonts w:ascii="Banchob" w:hAnsi="Banchob"/>
              </w:rPr>
            </w:pPr>
            <w:r>
              <w:rPr>
                <w:rFonts w:ascii="Banchob" w:hAnsi="Banchob"/>
              </w:rPr>
            </w:r>
          </w:p>
        </w:tc>
        <w:tc>
          <w:tcPr>
            <w:tcW w:w="975" w:type="dxa"/>
            <w:tcBorders/>
          </w:tcPr>
          <w:p>
            <w:pPr>
              <w:pStyle w:val="KhamyangPhonemic"/>
              <w:rPr>
                <w:rFonts w:ascii="Banchob" w:hAnsi="Banchob"/>
              </w:rPr>
            </w:pPr>
            <w:r>
              <w:rPr>
                <w:rFonts w:ascii="Banchob" w:hAnsi="Banchob"/>
              </w:rPr>
            </w:r>
          </w:p>
        </w:tc>
        <w:tc>
          <w:tcPr>
            <w:tcW w:w="977" w:type="dxa"/>
            <w:tcBorders/>
          </w:tcPr>
          <w:p>
            <w:pPr>
              <w:pStyle w:val="KhamyangPhonemic"/>
              <w:rPr>
                <w:rFonts w:ascii="Banchob" w:hAnsi="Banchob"/>
              </w:rPr>
            </w:pPr>
            <w:r>
              <w:rPr>
                <w:rFonts w:ascii="Banchob" w:hAnsi="Banchob"/>
              </w:rPr>
            </w:r>
          </w:p>
        </w:tc>
        <w:tc>
          <w:tcPr>
            <w:tcW w:w="975" w:type="dxa"/>
            <w:tcBorders/>
          </w:tcPr>
          <w:p>
            <w:pPr>
              <w:pStyle w:val="KhamyangPhonemic"/>
              <w:rPr/>
            </w:pPr>
            <w:r>
              <w:rPr/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KhamyangGloss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KhamyangGloss"/>
              <w:rPr/>
            </w:pPr>
            <w:r>
              <w:rPr/>
            </w:r>
          </w:p>
        </w:tc>
        <w:tc>
          <w:tcPr>
            <w:tcW w:w="974" w:type="dxa"/>
            <w:tcBorders/>
          </w:tcPr>
          <w:p>
            <w:pPr>
              <w:pStyle w:val="KhamyangGloss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KhamyangGloss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KhamyangGloss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KhamyangGloss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KhamyangGloss"/>
              <w:rPr/>
            </w:pPr>
            <w:r>
              <w:rPr/>
            </w:r>
          </w:p>
        </w:tc>
        <w:tc>
          <w:tcPr>
            <w:tcW w:w="977" w:type="dxa"/>
            <w:tcBorders/>
          </w:tcPr>
          <w:p>
            <w:pPr>
              <w:pStyle w:val="KhamyangGloss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KhamyangGloss"/>
              <w:rPr/>
            </w:pPr>
            <w:r>
              <w:rPr/>
            </w:r>
          </w:p>
        </w:tc>
      </w:tr>
    </w:tbl>
    <w:p>
      <w:pPr>
        <w:pStyle w:val="KhamyangTranslation"/>
        <w:rPr/>
      </w:pPr>
      <w:r>
        <w:rPr/>
        <w:t>‘</w:t>
      </w:r>
      <w:r>
        <w:rPr/>
        <w:t>Ready.’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  <w:t>Deben</w:t>
      </w:r>
    </w:p>
    <w:p>
      <w:pPr>
        <w:pStyle w:val="KhamyangText"/>
        <w:rPr/>
      </w:pPr>
      <w:r>
        <w:rPr/>
        <w:fldChar w:fldCharType="begin"/>
      </w:r>
      <w:r>
        <w:rPr/>
        <w:instrText xml:space="preserve"> SEQ Ex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>)</w:t>
        <w:tab/>
        <w:t>‘Ready’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tbl>
      <w:tblPr>
        <w:tblW w:w="83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719"/>
        <w:gridCol w:w="1090"/>
        <w:gridCol w:w="1248"/>
        <w:gridCol w:w="1276"/>
        <w:gridCol w:w="974"/>
        <w:gridCol w:w="976"/>
        <w:gridCol w:w="2046"/>
      </w:tblGrid>
      <w:tr>
        <w:trPr/>
        <w:tc>
          <w:tcPr>
            <w:tcW w:w="719" w:type="dxa"/>
            <w:tcBorders/>
            <w:vAlign w:val="center"/>
          </w:tcPr>
          <w:p>
            <w:pPr>
              <w:pStyle w:val="KhamyangText"/>
              <w:rPr/>
            </w:pPr>
            <w:r>
              <w:rPr/>
              <w:fldChar w:fldCharType="begin"/>
            </w:r>
            <w:r>
              <w:rPr/>
              <w:instrText xml:space="preserve"> SEQ Ex \* ARABIC </w:instrText>
            </w:r>
            <w:r>
              <w:rPr/>
              <w:fldChar w:fldCharType="separate"/>
            </w:r>
            <w:r>
              <w:rPr/>
              <w:t>3</w:t>
            </w:r>
            <w:r>
              <w:rPr/>
              <w:fldChar w:fldCharType="end"/>
            </w:r>
            <w:r>
              <w:rPr/>
              <w:t>)</w:t>
            </w:r>
          </w:p>
        </w:tc>
        <w:tc>
          <w:tcPr>
            <w:tcW w:w="1090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mJnq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cWfa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ko ugq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cJwq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mJnq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[pamattq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KhamyangPhonemic"/>
              <w:rPr/>
            </w:pPr>
            <w:r>
              <w:rPr/>
            </w:r>
          </w:p>
        </w:tc>
        <w:tc>
          <w:tcPr>
            <w:tcW w:w="1090" w:type="dxa"/>
            <w:tcBorders/>
          </w:tcPr>
          <w:p>
            <w:pPr>
              <w:pStyle w:val="KhamyangPhonemic"/>
              <w:rPr/>
            </w:pPr>
            <w:r>
              <w:rPr/>
            </w:r>
          </w:p>
        </w:tc>
        <w:tc>
          <w:tcPr>
            <w:tcW w:w="1248" w:type="dxa"/>
            <w:tcBorders/>
          </w:tcPr>
          <w:p>
            <w:pPr>
              <w:pStyle w:val="KhamyangPhonemic"/>
              <w:rPr/>
            </w:pPr>
            <w:r>
              <w:rPr/>
            </w:r>
          </w:p>
        </w:tc>
        <w:tc>
          <w:tcPr>
            <w:tcW w:w="1276" w:type="dxa"/>
            <w:tcBorders/>
          </w:tcPr>
          <w:p>
            <w:pPr>
              <w:pStyle w:val="KhamyangPhonemic"/>
              <w:rPr/>
            </w:pPr>
            <w:r>
              <w:rPr/>
              <w:t>koŋ</w:t>
            </w:r>
          </w:p>
        </w:tc>
        <w:tc>
          <w:tcPr>
            <w:tcW w:w="974" w:type="dxa"/>
            <w:tcBorders/>
          </w:tcPr>
          <w:p>
            <w:pPr>
              <w:pStyle w:val="KhamyangPhonemic"/>
              <w:rPr/>
            </w:pPr>
            <w:r>
              <w:rPr/>
            </w:r>
          </w:p>
        </w:tc>
        <w:tc>
          <w:tcPr>
            <w:tcW w:w="976" w:type="dxa"/>
            <w:tcBorders/>
          </w:tcPr>
          <w:p>
            <w:pPr>
              <w:pStyle w:val="KhamyangPhonemic"/>
              <w:rPr/>
            </w:pPr>
            <w:r>
              <w:rPr/>
            </w:r>
          </w:p>
        </w:tc>
        <w:tc>
          <w:tcPr>
            <w:tcW w:w="2046" w:type="dxa"/>
            <w:tcBorders/>
          </w:tcPr>
          <w:p>
            <w:pPr>
              <w:pStyle w:val="KhamyangPhonemic"/>
              <w:rPr/>
            </w:pPr>
            <w:r>
              <w:rPr/>
              <w:t>brahmadat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KhamyangGloss"/>
              <w:rPr/>
            </w:pPr>
            <w:r>
              <w:rPr/>
            </w:r>
          </w:p>
        </w:tc>
        <w:tc>
          <w:tcPr>
            <w:tcW w:w="1090" w:type="dxa"/>
            <w:tcBorders/>
          </w:tcPr>
          <w:p>
            <w:pPr>
              <w:pStyle w:val="KhamyangGloss"/>
              <w:rPr/>
            </w:pPr>
            <w:r>
              <w:rPr/>
              <w:t>time.that</w:t>
            </w:r>
          </w:p>
        </w:tc>
        <w:tc>
          <w:tcPr>
            <w:tcW w:w="1248" w:type="dxa"/>
            <w:tcBorders/>
          </w:tcPr>
          <w:p>
            <w:pPr>
              <w:pStyle w:val="KhamyangGloss"/>
              <w:rPr/>
            </w:pPr>
            <w:r>
              <w:rPr/>
              <w:t>King</w:t>
            </w:r>
          </w:p>
        </w:tc>
        <w:tc>
          <w:tcPr>
            <w:tcW w:w="1276" w:type="dxa"/>
            <w:tcBorders/>
          </w:tcPr>
          <w:p>
            <w:pPr>
              <w:pStyle w:val="KhamyangGloss"/>
              <w:rPr/>
            </w:pPr>
            <w:r>
              <w:rPr/>
              <w:t>CLF.one</w:t>
            </w:r>
          </w:p>
        </w:tc>
        <w:tc>
          <w:tcPr>
            <w:tcW w:w="974" w:type="dxa"/>
            <w:tcBorders/>
          </w:tcPr>
          <w:p>
            <w:pPr>
              <w:pStyle w:val="KhamyangGloss"/>
              <w:rPr/>
            </w:pPr>
            <w:r>
              <w:rPr/>
              <w:t>name</w:t>
            </w:r>
          </w:p>
        </w:tc>
        <w:tc>
          <w:tcPr>
            <w:tcW w:w="976" w:type="dxa"/>
            <w:tcBorders/>
          </w:tcPr>
          <w:p>
            <w:pPr>
              <w:pStyle w:val="KhamyangGloss"/>
              <w:rPr/>
            </w:pPr>
            <w:r>
              <w:rPr/>
              <w:t>3SG</w:t>
            </w:r>
          </w:p>
        </w:tc>
        <w:tc>
          <w:tcPr>
            <w:tcW w:w="2046" w:type="dxa"/>
            <w:tcBorders/>
          </w:tcPr>
          <w:p>
            <w:pPr>
              <w:pStyle w:val="KhamyangGloss"/>
              <w:rPr/>
            </w:pPr>
            <w:r>
              <w:rPr/>
            </w:r>
          </w:p>
        </w:tc>
      </w:tr>
    </w:tbl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tbl>
      <w:tblPr>
        <w:tblW w:w="94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719"/>
        <w:gridCol w:w="976"/>
        <w:gridCol w:w="974"/>
        <w:gridCol w:w="975"/>
        <w:gridCol w:w="976"/>
        <w:gridCol w:w="974"/>
        <w:gridCol w:w="976"/>
        <w:gridCol w:w="975"/>
        <w:gridCol w:w="975"/>
        <w:gridCol w:w="976"/>
      </w:tblGrid>
      <w:tr>
        <w:trPr/>
        <w:tc>
          <w:tcPr>
            <w:tcW w:w="719" w:type="dxa"/>
            <w:tcBorders/>
            <w:vAlign w:val="center"/>
          </w:tcPr>
          <w:p>
            <w:pPr>
              <w:pStyle w:val="KhamyangText"/>
              <w:rPr/>
            </w:pPr>
            <w:r>
              <w:rPr/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woa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sI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tI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cWfa</w:t>
            </w:r>
          </w:p>
        </w:tc>
        <w:tc>
          <w:tcPr>
            <w:tcW w:w="974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Anq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ygq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wj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KhamyangPhonemic"/>
              <w:rPr/>
            </w:pPr>
            <w:r>
              <w:rPr/>
            </w:r>
          </w:p>
        </w:tc>
        <w:tc>
          <w:tcPr>
            <w:tcW w:w="976" w:type="dxa"/>
            <w:tcBorders/>
          </w:tcPr>
          <w:p>
            <w:pPr>
              <w:pStyle w:val="KhamyangPhonemic"/>
              <w:rPr/>
            </w:pPr>
            <w:r>
              <w:rPr/>
            </w:r>
          </w:p>
        </w:tc>
        <w:tc>
          <w:tcPr>
            <w:tcW w:w="974" w:type="dxa"/>
            <w:tcBorders/>
          </w:tcPr>
          <w:p>
            <w:pPr>
              <w:pStyle w:val="KhamyangPhonemic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KhamyangPhonemic"/>
              <w:rPr/>
            </w:pPr>
            <w:r>
              <w:rPr/>
            </w:r>
          </w:p>
        </w:tc>
        <w:tc>
          <w:tcPr>
            <w:tcW w:w="976" w:type="dxa"/>
            <w:tcBorders/>
          </w:tcPr>
          <w:p>
            <w:pPr>
              <w:pStyle w:val="KhamyangPhonemic"/>
              <w:rPr/>
            </w:pPr>
            <w:r>
              <w:rPr/>
            </w:r>
          </w:p>
        </w:tc>
        <w:tc>
          <w:tcPr>
            <w:tcW w:w="974" w:type="dxa"/>
            <w:tcBorders/>
          </w:tcPr>
          <w:p>
            <w:pPr>
              <w:pStyle w:val="KhamyangPhonemic"/>
              <w:rPr/>
            </w:pPr>
            <w:r>
              <w:rPr/>
              <w:t>ən</w:t>
            </w:r>
          </w:p>
        </w:tc>
        <w:tc>
          <w:tcPr>
            <w:tcW w:w="976" w:type="dxa"/>
            <w:tcBorders/>
          </w:tcPr>
          <w:p>
            <w:pPr>
              <w:pStyle w:val="KhamyangPhonemic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KhamyangPhonemic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KhamyangPhonemic"/>
              <w:rPr>
                <w:rFonts w:ascii="Banchob" w:hAnsi="Banchob"/>
              </w:rPr>
            </w:pPr>
            <w:r>
              <w:rPr>
                <w:rFonts w:ascii="Banchob" w:hAnsi="Banchob"/>
              </w:rPr>
            </w:r>
          </w:p>
        </w:tc>
        <w:tc>
          <w:tcPr>
            <w:tcW w:w="976" w:type="dxa"/>
            <w:tcBorders/>
          </w:tcPr>
          <w:p>
            <w:pPr>
              <w:pStyle w:val="KhamyangPhonemic"/>
              <w:rPr/>
            </w:pPr>
            <w:r>
              <w:rPr/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KhamyangGloss"/>
              <w:rPr/>
            </w:pPr>
            <w:r>
              <w:rPr/>
            </w:r>
          </w:p>
        </w:tc>
        <w:tc>
          <w:tcPr>
            <w:tcW w:w="976" w:type="dxa"/>
            <w:tcBorders/>
          </w:tcPr>
          <w:p>
            <w:pPr>
              <w:pStyle w:val="KhamyangGloss"/>
              <w:rPr/>
            </w:pPr>
            <w:r>
              <w:rPr/>
              <w:t>Say</w:t>
            </w:r>
          </w:p>
        </w:tc>
        <w:tc>
          <w:tcPr>
            <w:tcW w:w="974" w:type="dxa"/>
            <w:tcBorders/>
          </w:tcPr>
          <w:p>
            <w:pPr>
              <w:pStyle w:val="KhamyangGloss"/>
              <w:rPr/>
            </w:pPr>
            <w:r>
              <w:rPr/>
              <w:t>PRT</w:t>
            </w:r>
          </w:p>
        </w:tc>
        <w:tc>
          <w:tcPr>
            <w:tcW w:w="975" w:type="dxa"/>
            <w:tcBorders/>
          </w:tcPr>
          <w:p>
            <w:pPr>
              <w:pStyle w:val="KhamyangGloss"/>
              <w:rPr/>
            </w:pPr>
            <w:r>
              <w:rPr/>
              <w:t>at</w:t>
            </w:r>
          </w:p>
        </w:tc>
        <w:tc>
          <w:tcPr>
            <w:tcW w:w="976" w:type="dxa"/>
            <w:tcBorders/>
          </w:tcPr>
          <w:p>
            <w:pPr>
              <w:pStyle w:val="KhamyangGloss"/>
              <w:rPr/>
            </w:pPr>
            <w:r>
              <w:rPr/>
              <w:t>king</w:t>
            </w:r>
          </w:p>
        </w:tc>
        <w:tc>
          <w:tcPr>
            <w:tcW w:w="974" w:type="dxa"/>
            <w:tcBorders/>
          </w:tcPr>
          <w:p>
            <w:pPr>
              <w:pStyle w:val="KhamyangGloss"/>
              <w:rPr/>
            </w:pPr>
            <w:r>
              <w:rPr/>
              <w:t>CLF</w:t>
            </w:r>
          </w:p>
        </w:tc>
        <w:tc>
          <w:tcPr>
            <w:tcW w:w="976" w:type="dxa"/>
            <w:tcBorders/>
          </w:tcPr>
          <w:p>
            <w:pPr>
              <w:pStyle w:val="KhamyangGloss"/>
              <w:rPr/>
            </w:pPr>
            <w:r>
              <w:rPr/>
              <w:t>have</w:t>
            </w:r>
          </w:p>
        </w:tc>
        <w:tc>
          <w:tcPr>
            <w:tcW w:w="975" w:type="dxa"/>
            <w:tcBorders/>
          </w:tcPr>
          <w:p>
            <w:pPr>
              <w:pStyle w:val="KhamyangGloss"/>
              <w:rPr/>
            </w:pPr>
            <w:r>
              <w:rPr/>
              <w:t>KEEP</w:t>
            </w:r>
          </w:p>
        </w:tc>
        <w:tc>
          <w:tcPr>
            <w:tcW w:w="975" w:type="dxa"/>
            <w:tcBorders/>
          </w:tcPr>
          <w:p>
            <w:pPr>
              <w:pStyle w:val="KhamyangGloss"/>
              <w:rPr/>
            </w:pPr>
            <w:r>
              <w:rPr/>
            </w:r>
          </w:p>
        </w:tc>
        <w:tc>
          <w:tcPr>
            <w:tcW w:w="976" w:type="dxa"/>
            <w:tcBorders/>
          </w:tcPr>
          <w:p>
            <w:pPr>
              <w:pStyle w:val="KhamyangGloss"/>
              <w:rPr/>
            </w:pPr>
            <w:r>
              <w:rPr/>
            </w:r>
          </w:p>
        </w:tc>
      </w:tr>
    </w:tbl>
    <w:p>
      <w:pPr>
        <w:pStyle w:val="KhamyangTranslation"/>
        <w:rPr/>
      </w:pPr>
      <w:r>
        <w:rPr/>
        <w:t>‘</w:t>
      </w:r>
      <w:r>
        <w:rPr/>
        <w:t>At that time there was a king whose name was Brahmadatta, who was ruling as king.’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  <w:t>GRAMMAR:</w:t>
        <w:tab/>
        <w:t xml:space="preserve"> assimilation; mi nī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  <w:tab/>
        <w:t>tan¹ in Phake ‘scold’ – the meaning given by Chaichuen and Deben was kasang ka ma hu ‘ignorant’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  <w:tab/>
        <w:t>Dehong tan⁶ ‘solid’ – hence ‘blockhead’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EucrosiaUPC">
    <w:charset w:val="01"/>
    <w:family w:val="roman"/>
    <w:pitch w:val="variable"/>
  </w:font>
  <w:font w:name="Arial">
    <w:charset w:val="01"/>
    <w:family w:val="roman"/>
    <w:pitch w:val="variable"/>
  </w:font>
  <w:font w:name="Phake Script">
    <w:charset w:val="01"/>
    <w:family w:val="auto"/>
    <w:pitch w:val="default"/>
  </w:font>
  <w:font w:name="Phake Script">
    <w:charset w:val="01"/>
    <w:family w:val="roman"/>
    <w:pitch w:val="variable"/>
  </w:font>
  <w:font w:name="Banchob">
    <w:charset w:val="01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compat>
    <w:doNotExpandShiftReturn/>
    <w:usePrinterMetrics/>
    <w:doNotBreakWrappedTables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th-TH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b/>
      <w:kern w:val="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ind w:hanging="720" w:left="1440"/>
      <w:outlineLvl w:val="1"/>
    </w:pPr>
    <w:rPr/>
  </w:style>
  <w:style w:type="paragraph" w:styleId="Heading3">
    <w:name w:val="Heading 3"/>
    <w:basedOn w:val="Normal"/>
    <w:next w:val="Normal"/>
    <w:qFormat/>
    <w:pPr>
      <w:keepNext w:val="true"/>
      <w:spacing w:before="240" w:after="60"/>
      <w:ind w:hanging="720" w:left="216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spacing w:before="240" w:after="60"/>
      <w:outlineLvl w:val="3"/>
    </w:pPr>
    <w:rPr/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/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macro">
    <w:name w:val="macro"/>
    <w:semiHidden/>
    <w:qFormat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overflowPunct w:val="true"/>
      <w:bidi w:val="0"/>
      <w:spacing w:before="0" w:after="0"/>
      <w:jc w:val="left"/>
      <w:textAlignment w:val="baseline"/>
    </w:pPr>
    <w:rPr>
      <w:rFonts w:ascii="EucrosiaUPC" w:hAnsi="EucrosiaUPC" w:eastAsia="Times New Roman" w:cs="Times New Roman"/>
      <w:color w:val="auto"/>
      <w:kern w:val="0"/>
      <w:sz w:val="28"/>
      <w:szCs w:val="20"/>
      <w:lang w:val="en-US" w:eastAsia="en-US" w:bidi="ar-SA"/>
    </w:rPr>
  </w:style>
  <w:style w:type="paragraph" w:styleId="Title">
    <w:name w:val="Title"/>
    <w:basedOn w:val="Normal"/>
    <w:qFormat/>
    <w:pPr>
      <w:ind w:hanging="720" w:left="720"/>
      <w:jc w:val="center"/>
    </w:pPr>
    <w:rPr>
      <w:i/>
      <w:iCs/>
      <w:lang w:val="en-AU"/>
    </w:rPr>
  </w:style>
  <w:style w:type="paragraph" w:styleId="KhamyangText" w:customStyle="1">
    <w:name w:val="KhamyangText"/>
    <w:basedOn w:val="Normal"/>
    <w:qFormat/>
    <w:rsid w:val="00084338"/>
    <w:pPr>
      <w:keepNext w:val="true"/>
    </w:pPr>
    <w:rPr>
      <w:lang w:val="en-AU"/>
    </w:rPr>
  </w:style>
  <w:style w:type="paragraph" w:styleId="KhamyangPhonemic" w:customStyle="1">
    <w:name w:val="KhamyangPhonemic"/>
    <w:basedOn w:val="Normal"/>
    <w:qFormat/>
    <w:rsid w:val="00084338"/>
    <w:pPr>
      <w:keepNext w:val="true"/>
    </w:pPr>
    <w:rPr>
      <w:lang w:val="en-AU"/>
    </w:rPr>
  </w:style>
  <w:style w:type="paragraph" w:styleId="KhamyangGloss" w:customStyle="1">
    <w:name w:val="KhamyangGloss"/>
    <w:basedOn w:val="Normal"/>
    <w:qFormat/>
    <w:rsid w:val="00084338"/>
    <w:pPr>
      <w:keepNext w:val="true"/>
    </w:pPr>
    <w:rPr>
      <w:lang w:val="en-AU"/>
    </w:rPr>
  </w:style>
  <w:style w:type="paragraph" w:styleId="KhamyangTranslation" w:customStyle="1">
    <w:name w:val="KhamyangTranslation"/>
    <w:basedOn w:val="Normal"/>
    <w:qFormat/>
    <w:rsid w:val="00084338"/>
    <w:pPr>
      <w:keepNext w:val="true"/>
      <w:tabs>
        <w:tab w:val="left" w:pos="720" w:leader="none"/>
      </w:tabs>
      <w:ind w:left="720"/>
    </w:pPr>
    <w:rPr>
      <w:lang w:val="en-AU"/>
    </w:rPr>
  </w:style>
  <w:style w:type="paragraph" w:styleId="ListBullet">
    <w:name w:val="List Bullet"/>
    <w:basedOn w:val="Normal"/>
    <w:rsid w:val="00270bee"/>
    <w:pPr>
      <w:numPr>
        <w:ilvl w:val="0"/>
        <w:numId w:val="1"/>
      </w:numPr>
      <w:spacing w:before="0" w:after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9593</TotalTime>
  <Application>LibreOffice/24.2.4.2$MacOSX_X86_64 LibreOffice_project/51a6219feb6075d9a4c46691dcfe0cd9c4fff3c2</Application>
  <AppVersion>15.0000</AppVersion>
  <Pages>4</Pages>
  <Words>278</Words>
  <Characters>2392</Characters>
  <CharactersWithSpaces>2566</CharactersWithSpaces>
  <Paragraphs>72</Paragraphs>
  <Company>La Trobe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2025-07-01T08:33:00Z</dcterms:created>
  <dc:creator>Support</dc:creator>
  <dc:description/>
  <dc:language>en-US</dc:language>
  <cp:lastModifiedBy/>
  <cp:lastPrinted>1899-12-31T13:00:00Z</cp:lastPrinted>
  <dcterms:modified xsi:type="dcterms:W3CDTF">2025-08-03T14:54:14Z</dcterms:modified>
  <cp:revision>18</cp:revision>
  <dc:subject/>
  <dc:title>Text numbe_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