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67A6D4C0" w:rsidR="006C1E13" w:rsidRPr="006C1E13" w:rsidRDefault="00EC490E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Магистрант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D4D39C2" w:rsidR="006C1E13" w:rsidRPr="00F80067" w:rsidRDefault="00EC490E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56DED546" w:rsidR="006C1E13" w:rsidRPr="00AE69C8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6F84A1A" w:rsidR="006C1E13" w:rsidRPr="004708C3" w:rsidRDefault="00897C93" w:rsidP="006C1E13">
            <w:proofErr w:type="spellStart"/>
            <w:r>
              <w:t>к.ф-м.н</w:t>
            </w:r>
            <w:proofErr w:type="spellEnd"/>
            <w:r>
              <w:t>.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2B3541CB" w14:textId="01F47DDA" w:rsidR="001C5A29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4359" w:history="1">
            <w:r w:rsidR="001C5A29" w:rsidRPr="00FF58CF">
              <w:rPr>
                <w:rStyle w:val="a5"/>
                <w:noProof/>
              </w:rPr>
              <w:t>Список условных обозначений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_Toc41864359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3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3529D70C" w14:textId="25409116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0" w:history="1">
            <w:r w:rsidRPr="00FF58C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BA15" w14:textId="5CB4053C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1" w:history="1">
            <w:r w:rsidRPr="00FF58CF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7F7D" w14:textId="22CF9495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2" w:history="1">
            <w:r w:rsidRPr="00FF58CF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994D" w14:textId="741CEA37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3" w:history="1">
            <w:r w:rsidRPr="00FF58CF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1656" w14:textId="1C9F3256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4" w:history="1">
            <w:r w:rsidRPr="00FF58CF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A247" w14:textId="79C9CDD0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5" w:history="1">
            <w:r w:rsidRPr="00FF58CF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711C" w14:textId="29382E78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6" w:history="1">
            <w:r w:rsidRPr="00FF58CF">
              <w:rPr>
                <w:rStyle w:val="a5"/>
                <w:noProof/>
              </w:rPr>
              <w:t>Список</w:t>
            </w:r>
            <w:r w:rsidRPr="00FF58CF">
              <w:rPr>
                <w:rStyle w:val="a5"/>
                <w:noProof/>
                <w:lang w:val="en-US"/>
              </w:rPr>
              <w:t xml:space="preserve"> </w:t>
            </w:r>
            <w:r w:rsidRPr="00FF58CF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078D" w14:textId="1CF63A2B" w:rsidR="001C5A29" w:rsidRDefault="001C5A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7" w:history="1">
            <w:r w:rsidRPr="00FF58CF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7CD497E4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864359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CD2171" w:rsidRDefault="003734E2" w:rsidP="000C0209">
      <w:r>
        <w:t>ЯП</w:t>
      </w:r>
      <w:r w:rsidRPr="00CD2171">
        <w:t xml:space="preserve"> – </w:t>
      </w:r>
      <w:r>
        <w:t>язык</w:t>
      </w:r>
      <w:r w:rsidRPr="00CD2171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984A5B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984A5B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984A5B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984A5B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864360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1C70144E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CA1D4E" w:rsidRPr="00CA1D4E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215AFE6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CA1D4E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1531B3C4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CA1D4E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CA1D4E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7FFF2F7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A1D4E">
            <w:rPr>
              <w:noProof/>
              <w:lang w:val="en-US"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CA1D4E">
            <w:rPr>
              <w:noProof/>
              <w:lang w:val="en-US"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63D84E49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CA1D4E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36E3812A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CA1D4E">
            <w:rPr>
              <w:noProof/>
              <w:lang w:val="en-US"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2A9F4C46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CA1D4E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864361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1434AE1A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CA1D4E" w:rsidRPr="00CA1D4E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CA1D4E" w:rsidRPr="00CA1D4E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C196703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CA1D4E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05471B9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CA1D4E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984A5B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984A5B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984A5B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984A5B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984A5B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984A5B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769FABF1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CA1D4E" w:rsidRPr="00CA1D4E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984A5B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BF11847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CA1D4E" w:rsidRPr="00CA1D4E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984A5B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984A5B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984A5B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984A5B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984A5B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33D561C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CA1D4E" w:rsidRPr="00CA1D4E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1ACCDB72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CA1D4E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864362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1164CC6D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CA1D4E" w:rsidRPr="00CA1D4E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984A5B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984A5B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2888387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CA1D4E" w:rsidRPr="00CA1D4E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CA1D4E" w:rsidRPr="00CA1D4E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F370BB5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CA1D4E" w:rsidRPr="00CA1D4E">
            <w:rPr>
              <w:noProof/>
              <w:highlight w:val="yellow"/>
              <w:shd w:val="clear" w:color="auto" w:fill="FFFFFF"/>
              <w:lang w:val="en-US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7A23FCA4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CA1D4E" w:rsidRPr="00CA1D4E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2C86781F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CA1D4E">
            <w:rPr>
              <w:noProof/>
              <w:lang w:val="en-US"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CA1D4E">
            <w:rPr>
              <w:noProof/>
              <w:lang w:val="en-US"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>
        <w:rPr>
          <w:lang w:val="en-US"/>
        </w:rPr>
        <w:t xml:space="preserve"> </w:t>
      </w:r>
      <w:sdt>
        <w:sdtPr>
          <w:rPr>
            <w:lang w:val="en-US"/>
          </w:rPr>
          <w:id w:val="-320967683"/>
          <w:citation/>
        </w:sdtPr>
        <w:sdtContent>
          <w:r w:rsidR="00CF4BE0">
            <w:rPr>
              <w:lang w:val="en-US"/>
            </w:rPr>
            <w:fldChar w:fldCharType="begin"/>
          </w:r>
          <w:r w:rsidR="00CF4BE0">
            <w:rPr>
              <w:lang w:val="en-US"/>
            </w:rPr>
            <w:instrText xml:space="preserve"> CITATION Rei19 \l 1033 </w:instrText>
          </w:r>
          <w:r w:rsidR="00CF4BE0">
            <w:rPr>
              <w:lang w:val="en-US"/>
            </w:rPr>
            <w:fldChar w:fldCharType="separate"/>
          </w:r>
          <w:r w:rsidR="00CA1D4E">
            <w:rPr>
              <w:noProof/>
              <w:lang w:val="en-US"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864363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1A3F75A3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CA1D4E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proofErr w:type="spellStart"/>
      <w:r w:rsidR="007E6B84">
        <w:rPr>
          <w:rFonts w:eastAsiaTheme="minorEastAsia"/>
        </w:rPr>
        <w:t>ым</w:t>
      </w:r>
      <w:proofErr w:type="spellEnd"/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1B5D5B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71553A" w:rsidRDefault="00B842F3" w:rsidP="00B842F3">
      <w:pPr>
        <w:jc w:val="center"/>
      </w:pPr>
      <w:r w:rsidRPr="001B5D5B">
        <w:rPr>
          <w:b/>
          <w:bCs/>
        </w:rPr>
        <w:t>Рисунок 3.8.</w:t>
      </w:r>
      <w:r w:rsidRPr="0071553A">
        <w:t xml:space="preserve"> Предсказание сети. </w:t>
      </w:r>
      <w:r w:rsidRPr="0071553A">
        <w:rPr>
          <w:lang w:val="en-US"/>
        </w:rPr>
        <w:t>MSE</w:t>
      </w:r>
      <w:r w:rsidRPr="0071553A">
        <w:t xml:space="preserve"> = </w:t>
      </w:r>
      <w:r w:rsidRPr="00E31861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</w:t>
      </w:r>
      <w:r w:rsidRPr="00E31861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864364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spellStart"/>
            <w:proofErr w:type="gramEnd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</w:t>
      </w:r>
      <w:r w:rsidR="003A6F75" w:rsidRPr="00FA0C15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</w:t>
      </w:r>
      <w:r w:rsidR="008106BB" w:rsidRPr="00FA0C15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</w:t>
      </w:r>
      <w:r w:rsidRPr="00FA0C15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</w:t>
      </w:r>
      <w:r w:rsidRPr="00FA0C15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1B897D6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61A5BC2A" w14:textId="1BEF30CD" w:rsidR="00ED5096" w:rsidRPr="00ED5096" w:rsidRDefault="00ED5096" w:rsidP="00943148">
      <w:pPr>
        <w:ind w:firstLine="708"/>
      </w:pPr>
      <w:r w:rsidRPr="00ED5096">
        <w:rPr>
          <w:highlight w:val="yellow"/>
        </w:rPr>
        <w:t>Добавить про линейное ослабление коэффициента.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34922C5E" w:rsidR="00B40DAA" w:rsidRPr="00815CD8" w:rsidRDefault="00B40DAA" w:rsidP="00B40DAA">
      <w:pPr>
        <w:jc w:val="center"/>
      </w:pPr>
      <w:r w:rsidRPr="003E76E0">
        <w:rPr>
          <w:b/>
          <w:bCs/>
        </w:rPr>
        <w:t>Рисунок 4.5.</w:t>
      </w:r>
      <w:r w:rsidRPr="003E76E0">
        <w:t xml:space="preserve"> Результат </w:t>
      </w:r>
      <w:r w:rsidR="00D64321" w:rsidRPr="003E76E0">
        <w:t xml:space="preserve">предсказания </w:t>
      </w:r>
      <w:r w:rsidR="00F70BA8" w:rsidRPr="003E76E0">
        <w:t xml:space="preserve">обученной сети </w:t>
      </w:r>
      <w:r w:rsidR="00937530" w:rsidRPr="003E76E0">
        <w:t>после</w:t>
      </w:r>
      <w:r w:rsidR="00F70BA8" w:rsidRPr="003E76E0">
        <w:t xml:space="preserve"> использовани</w:t>
      </w:r>
      <w:r w:rsidR="00937530" w:rsidRPr="003E76E0">
        <w:t>я</w:t>
      </w:r>
      <w:r w:rsidR="00F70BA8" w:rsidRPr="003E76E0">
        <w:t xml:space="preserve"> </w:t>
      </w:r>
      <w:r w:rsidR="004C26F0" w:rsidRPr="003E76E0">
        <w:t>л</w:t>
      </w:r>
      <w:r w:rsidRPr="003E76E0">
        <w:t>инейного ослабления прореживания.</w:t>
      </w:r>
      <w:r w:rsidR="00CC28FE" w:rsidRPr="003E76E0">
        <w:t xml:space="preserve"> </w:t>
      </w:r>
      <w:r w:rsidRPr="003E76E0">
        <w:rPr>
          <w:lang w:val="en-US"/>
        </w:rPr>
        <w:t>MSE</w:t>
      </w:r>
      <w:r w:rsidRPr="003E76E0">
        <w:t xml:space="preserve"> = </w:t>
      </w:r>
      <w:r w:rsidR="003E76E0" w:rsidRPr="00815CD8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44BD6675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</w:t>
      </w:r>
      <w:r w:rsidR="000110AA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5C879FEA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CA1D4E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1059E42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CA1D4E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05AD5230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CA1D4E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CA1D4E">
            <w:rPr>
              <w:noProof/>
              <w:lang w:val="en-US"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4DC95DFF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CA1D4E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 xml:space="preserve">оэтому было принято решение </w:t>
      </w:r>
      <w:proofErr w:type="spellStart"/>
      <w:r w:rsidR="00F23D72">
        <w:t>децимировать</w:t>
      </w:r>
      <w:proofErr w:type="spellEnd"/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</w:t>
      </w:r>
      <w:proofErr w:type="spellStart"/>
      <w:r w:rsidR="00B56621">
        <w:t>децимированный</w:t>
      </w:r>
      <w:proofErr w:type="spellEnd"/>
      <w:r w:rsidR="00B56621">
        <w:t xml:space="preserve">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126AC8B5" w:rsidR="007639D9" w:rsidRPr="00B91F13" w:rsidRDefault="002F4B73" w:rsidP="007639D9">
      <w:pPr>
        <w:jc w:val="center"/>
      </w:pPr>
      <w:r w:rsidRPr="002F4B73">
        <w:rPr>
          <w:b/>
          <w:bCs/>
        </w:rPr>
        <w:t>Рисунок 4.8.</w:t>
      </w:r>
      <w:r>
        <w:t xml:space="preserve"> </w:t>
      </w:r>
      <w:proofErr w:type="spellStart"/>
      <w:r>
        <w:t>Децимированный</w:t>
      </w:r>
      <w:proofErr w:type="spellEnd"/>
      <w:r>
        <w:t xml:space="preserve">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proofErr w:type="spellStart"/>
      <w:r w:rsidR="00AC6B6F">
        <w:t>ранжевая</w:t>
      </w:r>
      <w:proofErr w:type="spellEnd"/>
      <w:r w:rsidR="00AC6B6F">
        <w:t xml:space="preserve">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78B51778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097B7A">
        <w:rPr>
          <w:vertAlign w:val="subscript"/>
          <w:lang w:val="en-US"/>
        </w:rPr>
        <w:t>X</w:t>
      </w:r>
      <w:r w:rsidR="00E07426" w:rsidRPr="00160B86">
        <w:t xml:space="preserve"> = </w:t>
      </w:r>
      <w:r w:rsidR="00E07426" w:rsidRPr="00FA0C15">
        <w:rPr>
          <w:highlight w:val="yellow"/>
        </w:rPr>
        <w:t>6.507</w:t>
      </w:r>
      <w:r w:rsidR="00E07426" w:rsidRPr="00160B86">
        <w:t xml:space="preserve">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</w:t>
      </w:r>
      <w:r w:rsidR="00E07426" w:rsidRPr="00FA0C15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</w:t>
      </w:r>
      <w:r w:rsidR="00DC0A6D" w:rsidRPr="00FA0C15">
        <w:rPr>
          <w:highlight w:val="yellow"/>
        </w:rPr>
        <w:t>8.221</w:t>
      </w:r>
      <w:r w:rsidR="00DC0A6D" w:rsidRPr="00160B86">
        <w:t xml:space="preserve">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</w:t>
      </w:r>
      <w:r w:rsidR="00DC0A6D" w:rsidRPr="00FA0C15">
        <w:rPr>
          <w:highlight w:val="yellow"/>
        </w:rPr>
        <w:t>5.377</w:t>
      </w:r>
    </w:p>
    <w:p w14:paraId="5E8EC923" w14:textId="64D481C9" w:rsidR="005E177D" w:rsidRDefault="00991DED" w:rsidP="00150EF4">
      <w:pPr>
        <w:ind w:firstLine="708"/>
        <w:rPr>
          <w:rFonts w:eastAsiaTheme="minorEastAsia"/>
        </w:rPr>
      </w:pPr>
      <w:r>
        <w:t xml:space="preserve">На этой сессии 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>, однако результат п</w:t>
      </w:r>
      <w:proofErr w:type="spellStart"/>
      <w:r w:rsidR="00B11E51">
        <w:rPr>
          <w:rFonts w:eastAsiaTheme="minorEastAsia"/>
        </w:rPr>
        <w:t>редсказания</w:t>
      </w:r>
      <w:proofErr w:type="spellEnd"/>
      <w:r w:rsidR="00B11E51">
        <w:rPr>
          <w:rFonts w:eastAsiaTheme="minorEastAsia"/>
        </w:rPr>
        <w:t xml:space="preserve">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4783FA20" w14:textId="4B14F0EB" w:rsidR="00D77DE7" w:rsidRPr="007B64FA" w:rsidRDefault="00D77DE7" w:rsidP="00EB5E41">
      <w:pPr>
        <w:ind w:firstLine="708"/>
        <w:rPr>
          <w:rFonts w:eastAsiaTheme="minorEastAsia"/>
          <w:highlight w:val="yellow"/>
        </w:rPr>
      </w:pPr>
      <w:r w:rsidRPr="00853077">
        <w:rPr>
          <w:rFonts w:eastAsiaTheme="minorEastAsia"/>
          <w:highlight w:val="yellow"/>
        </w:rPr>
        <w:t>Для исправления этой ситуации обучение было организовано таким образом что две сети стали зависимыми, и входная последовательность на следующем шаге формируется из предсказаний обоих сетей на предыдущем шаге. Такой метод позвол</w:t>
      </w:r>
      <w:r w:rsidR="00504194">
        <w:rPr>
          <w:rFonts w:eastAsiaTheme="minorEastAsia"/>
          <w:highlight w:val="yellow"/>
        </w:rPr>
        <w:t>ил</w:t>
      </w:r>
      <w:r w:rsidRPr="00853077">
        <w:rPr>
          <w:rFonts w:eastAsiaTheme="minorEastAsia"/>
          <w:highlight w:val="yellow"/>
        </w:rPr>
        <w:t xml:space="preserve"> более равномерно распределить ошибку между </w:t>
      </w:r>
      <w:r w:rsidRPr="00853077">
        <w:rPr>
          <w:rFonts w:eastAsiaTheme="minorEastAsia"/>
          <w:highlight w:val="yellow"/>
        </w:rPr>
        <w:lastRenderedPageBreak/>
        <w:t>обоими сетями таким образом повышая точность предсказания.</w:t>
      </w:r>
      <w:r w:rsidR="005E7BF6" w:rsidRPr="005E7BF6">
        <w:rPr>
          <w:rFonts w:eastAsiaTheme="minorEastAsia"/>
          <w:highlight w:val="yellow"/>
        </w:rPr>
        <w:t xml:space="preserve"> </w:t>
      </w:r>
      <w:r w:rsidR="00853077" w:rsidRPr="005678A5">
        <w:rPr>
          <w:rFonts w:eastAsiaTheme="minorEastAsia"/>
          <w:highlight w:val="yellow"/>
        </w:rPr>
        <w:t xml:space="preserve">Обе сети были обучены понимать последовательность чередующихся координат, то есть </w:t>
      </w:r>
      <w:r w:rsidR="00682F33">
        <w:rPr>
          <w:rFonts w:eastAsiaTheme="minorEastAsia"/>
          <w:highlight w:val="yellow"/>
        </w:rPr>
        <w:t xml:space="preserve">для шага </w:t>
      </w:r>
      <m:oMath>
        <m:r>
          <w:rPr>
            <w:rFonts w:ascii="Cambria Math" w:eastAsiaTheme="minorEastAsia" w:hAnsi="Cambria Math"/>
            <w:highlight w:val="yellow"/>
          </w:rPr>
          <m:t>t=0</m:t>
        </m:r>
      </m:oMath>
      <w:r w:rsidR="00682F33" w:rsidRPr="00682F33">
        <w:rPr>
          <w:rFonts w:eastAsiaTheme="minorEastAsia"/>
          <w:highlight w:val="yellow"/>
        </w:rPr>
        <w:t xml:space="preserve"> </w:t>
      </w:r>
      <w:r w:rsidR="00682F33">
        <w:rPr>
          <w:rFonts w:eastAsiaTheme="minorEastAsia"/>
          <w:highlight w:val="yellow"/>
        </w:rPr>
        <w:t xml:space="preserve">входная </w:t>
      </w:r>
      <w:r w:rsidR="00853077" w:rsidRPr="005678A5">
        <w:rPr>
          <w:rFonts w:eastAsiaTheme="minorEastAsia"/>
          <w:highlight w:val="yellow"/>
        </w:rPr>
        <w:t>последовательность</w:t>
      </w:r>
      <w:r w:rsidR="00682F33">
        <w:rPr>
          <w:rFonts w:eastAsiaTheme="minorEastAsia"/>
          <w:highlight w:val="yellow"/>
        </w:rPr>
        <w:t xml:space="preserve"> выглядит как</w:t>
      </w:r>
      <w:r w:rsidR="00853077" w:rsidRPr="005678A5">
        <w:rPr>
          <w:rFonts w:eastAsiaTheme="minorEastAsia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</m:e>
        </m:d>
      </m:oMath>
      <w:r w:rsidR="005E7BF6">
        <w:rPr>
          <w:rFonts w:eastAsiaTheme="minorEastAsia"/>
          <w:highlight w:val="yellow"/>
        </w:rPr>
        <w:t xml:space="preserve">, где </w:t>
      </w:r>
      <m:oMath>
        <m:r>
          <w:rPr>
            <w:rFonts w:ascii="Cambria Math" w:eastAsiaTheme="minorEastAsia" w:hAnsi="Cambria Math"/>
            <w:highlight w:val="yellow"/>
          </w:rPr>
          <m:t>2∙n</m:t>
        </m:r>
      </m:oMath>
      <w:r w:rsidR="005E7BF6" w:rsidRPr="005E7BF6">
        <w:rPr>
          <w:rFonts w:eastAsiaTheme="minorEastAsia"/>
          <w:highlight w:val="yellow"/>
        </w:rPr>
        <w:t xml:space="preserve"> </w:t>
      </w:r>
      <w:r w:rsidR="005E7BF6">
        <w:rPr>
          <w:rFonts w:eastAsiaTheme="minorEastAsia"/>
          <w:highlight w:val="yellow"/>
        </w:rPr>
        <w:t>размер входного слоя сети.</w:t>
      </w:r>
      <w:r w:rsidR="00742B79">
        <w:rPr>
          <w:rFonts w:eastAsiaTheme="minorEastAsia"/>
          <w:highlight w:val="yellow"/>
        </w:rPr>
        <w:t xml:space="preserve"> В качестве истинного значения в свою очередь принималась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второй сети.</w:t>
      </w:r>
      <w:r w:rsidR="00EB5E41" w:rsidRPr="00EB5E41">
        <w:rPr>
          <w:rFonts w:eastAsiaTheme="minorEastAsia"/>
          <w:highlight w:val="yellow"/>
        </w:rPr>
        <w:t xml:space="preserve"> </w:t>
      </w:r>
      <w:r w:rsidR="00EB5E41">
        <w:rPr>
          <w:rFonts w:eastAsiaTheme="minorEastAsia"/>
          <w:highlight w:val="yellow"/>
        </w:rPr>
        <w:t xml:space="preserve">Таким образом </w:t>
      </w:r>
      <w:r w:rsidR="001F1423">
        <w:rPr>
          <w:rFonts w:eastAsiaTheme="minorEastAsia"/>
          <w:highlight w:val="yellow"/>
        </w:rPr>
        <w:t>по</w:t>
      </w:r>
      <w:r w:rsidR="00EB5E41">
        <w:rPr>
          <w:rFonts w:eastAsiaTheme="minorEastAsia"/>
          <w:highlight w:val="yellow"/>
        </w:rPr>
        <w:t xml:space="preserve"> итог</w:t>
      </w:r>
      <w:r w:rsidR="001F1423">
        <w:rPr>
          <w:rFonts w:eastAsiaTheme="minorEastAsia"/>
          <w:highlight w:val="yellow"/>
        </w:rPr>
        <w:t>ам</w:t>
      </w:r>
      <w:r w:rsidR="00EB5E41">
        <w:rPr>
          <w:rFonts w:eastAsiaTheme="minorEastAsia"/>
          <w:highlight w:val="yellow"/>
        </w:rPr>
        <w:t xml:space="preserve"> обучения к</w:t>
      </w:r>
      <w:r w:rsidR="00853077" w:rsidRPr="00853077">
        <w:rPr>
          <w:rFonts w:eastAsiaTheme="minorEastAsia"/>
          <w:highlight w:val="yellow"/>
        </w:rPr>
        <w:t xml:space="preserve">аждая сеть предсказывает </w:t>
      </w:r>
      <w:r w:rsidR="00EB5E41">
        <w:rPr>
          <w:rFonts w:eastAsiaTheme="minorEastAsia"/>
          <w:highlight w:val="yellow"/>
        </w:rPr>
        <w:t xml:space="preserve">последовательность </w:t>
      </w:r>
      <w:r w:rsidR="00853077" w:rsidRPr="00853077">
        <w:rPr>
          <w:rFonts w:eastAsiaTheme="minorEastAsia"/>
          <w:highlight w:val="yellow"/>
        </w:rPr>
        <w:t>св</w:t>
      </w:r>
      <w:r w:rsidR="00EB5E41">
        <w:rPr>
          <w:rFonts w:eastAsiaTheme="minorEastAsia"/>
          <w:highlight w:val="yellow"/>
        </w:rPr>
        <w:t>ей</w:t>
      </w:r>
      <w:r w:rsidR="00853077" w:rsidRPr="00853077">
        <w:rPr>
          <w:rFonts w:eastAsiaTheme="minorEastAsia"/>
          <w:highlight w:val="yellow"/>
        </w:rPr>
        <w:t xml:space="preserve"> координаты</w:t>
      </w:r>
      <w:r w:rsidR="00853077">
        <w:rPr>
          <w:rFonts w:eastAsiaTheme="minorEastAsia"/>
        </w:rPr>
        <w:t>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864365"/>
      <w:r>
        <w:lastRenderedPageBreak/>
        <w:t>Заключение</w:t>
      </w:r>
      <w:bookmarkEnd w:id="7"/>
    </w:p>
    <w:p w14:paraId="4FBAF544" w14:textId="43B06536" w:rsidR="00864DC3" w:rsidRDefault="00864DC3" w:rsidP="00856FB3">
      <w:pPr>
        <w:spacing w:line="259" w:lineRule="auto"/>
      </w:pPr>
    </w:p>
    <w:p w14:paraId="7FDFB1AE" w14:textId="5A95E573" w:rsidR="00E4182A" w:rsidRPr="00E4182A" w:rsidRDefault="00E4182A" w:rsidP="00250572">
      <w:r w:rsidRPr="00454488">
        <w:rPr>
          <w:highlight w:val="yellow"/>
        </w:rPr>
        <w:t xml:space="preserve">Что было сделано по данной работе? Т.е. была разработана собственная реализация </w:t>
      </w:r>
      <w:r w:rsidRPr="00454488">
        <w:rPr>
          <w:highlight w:val="yellow"/>
          <w:lang w:val="en-US"/>
        </w:rPr>
        <w:t>LSTM</w:t>
      </w:r>
      <w:r w:rsidRPr="00454488">
        <w:rPr>
          <w:highlight w:val="yellow"/>
        </w:rPr>
        <w:t xml:space="preserve"> ячейки. Был разработан цикл обучения и оптимизации посредством </w:t>
      </w:r>
      <w:r w:rsidRPr="00454488">
        <w:rPr>
          <w:highlight w:val="yellow"/>
          <w:lang w:val="en-US"/>
        </w:rPr>
        <w:t>SVD</w:t>
      </w:r>
      <w:r w:rsidRPr="00454488">
        <w:rPr>
          <w:highlight w:val="yellow"/>
        </w:rPr>
        <w:t xml:space="preserve"> разложения.</w:t>
      </w:r>
      <w:r w:rsidR="00454488" w:rsidRPr="00454488">
        <w:rPr>
          <w:highlight w:val="yellow"/>
        </w:rPr>
        <w:t xml:space="preserve"> Были проведен эксперименты по сравнению эффективности до и после применения </w:t>
      </w:r>
      <w:r w:rsidR="00454488" w:rsidRPr="00454488">
        <w:rPr>
          <w:highlight w:val="yellow"/>
          <w:lang w:val="en-US"/>
        </w:rPr>
        <w:t>SVD</w:t>
      </w:r>
      <w:r w:rsidR="00454488" w:rsidRPr="00454488">
        <w:rPr>
          <w:highlight w:val="yellow"/>
        </w:rPr>
        <w:t xml:space="preserve"> разложения.</w:t>
      </w:r>
    </w:p>
    <w:p w14:paraId="41669174" w14:textId="766CE82D" w:rsidR="00D54A8F" w:rsidRDefault="00E32849" w:rsidP="00250572"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250572"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250572"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864366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5A0F3BFF" w14:textId="77777777" w:rsidR="00CA1D4E" w:rsidRPr="00CA1D4E" w:rsidRDefault="003353F3" w:rsidP="00CA1D4E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A1D4E" w:rsidRPr="00CA1D4E">
                <w:rPr>
                  <w:noProof/>
                  <w:lang w:val="en-US"/>
                </w:rPr>
                <w:t xml:space="preserve">1. </w:t>
              </w:r>
              <w:r w:rsidR="00CA1D4E" w:rsidRPr="00CA1D4E">
                <w:rPr>
                  <w:b/>
                  <w:bCs/>
                  <w:noProof/>
                  <w:lang w:val="en-US"/>
                </w:rPr>
                <w:t>Y., LeCun.</w:t>
              </w:r>
              <w:r w:rsidR="00CA1D4E" w:rsidRPr="00CA1D4E">
                <w:rPr>
                  <w:noProof/>
                  <w:lang w:val="en-US"/>
                </w:rPr>
                <w:t xml:space="preserve"> Optimal Brain Damage. </w:t>
              </w:r>
              <w:r w:rsidR="00CA1D4E" w:rsidRPr="00CA1D4E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CA1D4E" w:rsidRPr="00CA1D4E">
                <w:rPr>
                  <w:noProof/>
                  <w:lang w:val="en-US"/>
                </w:rPr>
                <w:t>[</w:t>
              </w:r>
              <w:r w:rsidR="00CA1D4E">
                <w:rPr>
                  <w:noProof/>
                </w:rPr>
                <w:t>В</w:t>
              </w:r>
              <w:r w:rsidR="00CA1D4E" w:rsidRPr="00CA1D4E">
                <w:rPr>
                  <w:noProof/>
                  <w:lang w:val="en-US"/>
                </w:rPr>
                <w:t xml:space="preserve"> </w:t>
              </w:r>
              <w:r w:rsidR="00CA1D4E">
                <w:rPr>
                  <w:noProof/>
                </w:rPr>
                <w:t>Интернете</w:t>
              </w:r>
              <w:r w:rsidR="00CA1D4E" w:rsidRPr="00CA1D4E">
                <w:rPr>
                  <w:noProof/>
                  <w:lang w:val="en-US"/>
                </w:rPr>
                <w:t xml:space="preserve">] 1990 </w:t>
              </w:r>
              <w:r w:rsidR="00CA1D4E">
                <w:rPr>
                  <w:noProof/>
                </w:rPr>
                <w:t>г</w:t>
              </w:r>
              <w:r w:rsidR="00CA1D4E" w:rsidRPr="00CA1D4E">
                <w:rPr>
                  <w:noProof/>
                  <w:lang w:val="en-US"/>
                </w:rPr>
                <w:t>. http://yann.lecun.com/exdb/publis/pdf/lecun-90b.pdf.</w:t>
              </w:r>
            </w:p>
            <w:p w14:paraId="157D9EE0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F44A6CF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CA1D4E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CA1D4E">
                <w:rPr>
                  <w:noProof/>
                  <w:lang w:val="en-US"/>
                </w:rPr>
                <w:t>, 1984.</w:t>
              </w:r>
            </w:p>
            <w:p w14:paraId="57C005DA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4.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>. : Addison-Wesley, 1991. 978-0201515602.</w:t>
              </w:r>
            </w:p>
            <w:p w14:paraId="7CAD4DF0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5.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F93F6E9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CA1D4E">
                <w:rPr>
                  <w:noProof/>
                  <w:lang w:val="en-US"/>
                </w:rPr>
                <w:t>978-5-496-02536-2.</w:t>
              </w:r>
            </w:p>
            <w:p w14:paraId="0A7412E7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7.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CA1D4E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</w:t>
              </w:r>
            </w:p>
            <w:p w14:paraId="2205DB9F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8.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CA1D4E">
                <w:rPr>
                  <w:noProof/>
                  <w:lang w:val="en-US"/>
                </w:rPr>
                <w:t>Sebastopol : O’Reilly, 2017. 978-1-491-97851-1.</w:t>
              </w:r>
            </w:p>
            <w:p w14:paraId="55C722F9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9.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</w:t>
              </w:r>
            </w:p>
            <w:p w14:paraId="53959DD9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10.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2DD55D2F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Dive into Deep Learning.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D649542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6BF063A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295EC5A6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Sequence to Sequence Learning with Neural Networks.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3D13E55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D511239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CA1D4E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CA1D4E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CA1D4E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.] http://www.mmds.org/.</w:t>
              </w:r>
            </w:p>
            <w:p w14:paraId="2A35229F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17. </w:t>
              </w:r>
              <w:r w:rsidRPr="00CA1D4E">
                <w:rPr>
                  <w:b/>
                  <w:bCs/>
                  <w:noProof/>
                  <w:lang w:val="en-US"/>
                </w:rPr>
                <w:t>B., Mathews.</w:t>
              </w:r>
              <w:r w:rsidRPr="00CA1D4E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537E08CC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18. </w:t>
              </w:r>
              <w:r w:rsidRPr="00CA1D4E">
                <w:rPr>
                  <w:b/>
                  <w:bCs/>
                  <w:noProof/>
                  <w:lang w:val="en-US"/>
                </w:rPr>
                <w:t>L., Cao.</w:t>
              </w:r>
              <w:r w:rsidRPr="00CA1D4E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CA1D4E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CA1D4E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CA1D4E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CA1D4E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.] https://www.math.cuhk.edu.hk/~lmlui/CaoSVDintro.pdf.</w:t>
              </w:r>
            </w:p>
            <w:p w14:paraId="25246E8D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19.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01B1D50B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20.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CA1D4E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1E46B4DB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1994EF55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01AE5C16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CA1D4E">
                <w:rPr>
                  <w:noProof/>
                  <w:lang w:val="en-US"/>
                </w:rPr>
                <w:t>1992.</w:t>
              </w:r>
            </w:p>
            <w:p w14:paraId="190F610E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24. </w:t>
              </w:r>
              <w:r w:rsidRPr="00CA1D4E">
                <w:rPr>
                  <w:b/>
                  <w:bCs/>
                  <w:noProof/>
                  <w:lang w:val="en-US"/>
                </w:rPr>
                <w:t>N., Shukla.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>. : Manning, 2017.</w:t>
              </w:r>
            </w:p>
            <w:p w14:paraId="7E0B1E3E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B941E4C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4C5B0121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A473FAE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28. </w:t>
              </w:r>
              <w:r w:rsidRPr="00CA1D4E">
                <w:rPr>
                  <w:b/>
                  <w:bCs/>
                  <w:noProof/>
                  <w:lang w:val="en-US"/>
                </w:rPr>
                <w:t>J., Shlens.</w:t>
              </w:r>
              <w:r w:rsidRPr="00CA1D4E">
                <w:rPr>
                  <w:noProof/>
                  <w:lang w:val="en-US"/>
                </w:rPr>
                <w:t xml:space="preserve"> A Tutorial on Principle Component Analysis.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CA1D4E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CA1D4E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CA1D4E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CA1D4E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CA1D4E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.] https://arxiv.org/abs/1404.1100v1.</w:t>
              </w:r>
            </w:p>
            <w:p w14:paraId="7A62D73D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29.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Understanding Deep Learning Requires Rethinking.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CA1D4E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864367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984A5B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984A5B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984A5B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984A5B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984A5B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23C933E3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984A5B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984A5B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984A5B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984A5B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984A5B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984A5B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984A5B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984A5B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984A5B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984A5B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984A5B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984A5B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984A5B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984A5B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984A5B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984A5B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984A5B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8D98359" w14:textId="0EA8AAC8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C0149" w14:textId="77777777" w:rsidR="008602BD" w:rsidRDefault="008602BD" w:rsidP="00895B0A">
      <w:pPr>
        <w:spacing w:after="0" w:line="240" w:lineRule="auto"/>
      </w:pPr>
      <w:r>
        <w:separator/>
      </w:r>
    </w:p>
  </w:endnote>
  <w:endnote w:type="continuationSeparator" w:id="0">
    <w:p w14:paraId="07FBBEE9" w14:textId="77777777" w:rsidR="008602BD" w:rsidRDefault="008602BD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984A5B" w:rsidRDefault="00984A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84A5B" w:rsidRDefault="00984A5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7DF83" w14:textId="77777777" w:rsidR="008602BD" w:rsidRDefault="008602BD" w:rsidP="00895B0A">
      <w:pPr>
        <w:spacing w:after="0" w:line="240" w:lineRule="auto"/>
      </w:pPr>
      <w:r>
        <w:separator/>
      </w:r>
    </w:p>
  </w:footnote>
  <w:footnote w:type="continuationSeparator" w:id="0">
    <w:p w14:paraId="1CFBE72A" w14:textId="77777777" w:rsidR="008602BD" w:rsidRDefault="008602BD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02"/>
    <w:rsid w:val="000E3BDE"/>
    <w:rsid w:val="000E4020"/>
    <w:rsid w:val="000E4076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388F"/>
    <w:rsid w:val="00124137"/>
    <w:rsid w:val="00124262"/>
    <w:rsid w:val="0012435F"/>
    <w:rsid w:val="0012457F"/>
    <w:rsid w:val="00124859"/>
    <w:rsid w:val="0012545E"/>
    <w:rsid w:val="00125A0A"/>
    <w:rsid w:val="00125D2F"/>
    <w:rsid w:val="00125DC4"/>
    <w:rsid w:val="001277E6"/>
    <w:rsid w:val="00130DE4"/>
    <w:rsid w:val="00132106"/>
    <w:rsid w:val="0013232A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DAF"/>
    <w:rsid w:val="001D37F9"/>
    <w:rsid w:val="001D40DF"/>
    <w:rsid w:val="001D4127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10A7E"/>
    <w:rsid w:val="00210C34"/>
    <w:rsid w:val="002122E7"/>
    <w:rsid w:val="0021271A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CDD"/>
    <w:rsid w:val="00224EF7"/>
    <w:rsid w:val="00226193"/>
    <w:rsid w:val="0022628C"/>
    <w:rsid w:val="0022748F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AB5"/>
    <w:rsid w:val="002702B1"/>
    <w:rsid w:val="0027142E"/>
    <w:rsid w:val="00271EFA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2F22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4F2A"/>
    <w:rsid w:val="002F555D"/>
    <w:rsid w:val="002F5B3B"/>
    <w:rsid w:val="002F61F8"/>
    <w:rsid w:val="002F6CF4"/>
    <w:rsid w:val="003006EF"/>
    <w:rsid w:val="00301554"/>
    <w:rsid w:val="00301EFA"/>
    <w:rsid w:val="00302483"/>
    <w:rsid w:val="0030253A"/>
    <w:rsid w:val="003028B8"/>
    <w:rsid w:val="00302A03"/>
    <w:rsid w:val="00302E48"/>
    <w:rsid w:val="0030420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6C40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6506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4488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CEA"/>
    <w:rsid w:val="0048626E"/>
    <w:rsid w:val="00487394"/>
    <w:rsid w:val="00490130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24F8"/>
    <w:rsid w:val="00524254"/>
    <w:rsid w:val="00524933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6C79"/>
    <w:rsid w:val="005470CB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678A5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57"/>
    <w:rsid w:val="00575D55"/>
    <w:rsid w:val="00575DDA"/>
    <w:rsid w:val="005764D0"/>
    <w:rsid w:val="00576506"/>
    <w:rsid w:val="00576EE8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2F33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F20"/>
    <w:rsid w:val="0075152D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61C7"/>
    <w:rsid w:val="007C6C2A"/>
    <w:rsid w:val="007C6C97"/>
    <w:rsid w:val="007C70A1"/>
    <w:rsid w:val="007C7E1C"/>
    <w:rsid w:val="007D15CE"/>
    <w:rsid w:val="007D15E4"/>
    <w:rsid w:val="007D2E81"/>
    <w:rsid w:val="007D30E3"/>
    <w:rsid w:val="007D371A"/>
    <w:rsid w:val="007D3844"/>
    <w:rsid w:val="007D3908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3C55"/>
    <w:rsid w:val="008846EC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E4F"/>
    <w:rsid w:val="00891EF1"/>
    <w:rsid w:val="00892338"/>
    <w:rsid w:val="00892A38"/>
    <w:rsid w:val="00892D65"/>
    <w:rsid w:val="00893397"/>
    <w:rsid w:val="00893D7E"/>
    <w:rsid w:val="00893EEB"/>
    <w:rsid w:val="00895B0A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DCB"/>
    <w:rsid w:val="00993FE8"/>
    <w:rsid w:val="0099663A"/>
    <w:rsid w:val="00997071"/>
    <w:rsid w:val="0099728D"/>
    <w:rsid w:val="009974F4"/>
    <w:rsid w:val="00997DA1"/>
    <w:rsid w:val="00997DD0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CD2"/>
    <w:rsid w:val="00A70C74"/>
    <w:rsid w:val="00A71333"/>
    <w:rsid w:val="00A7185D"/>
    <w:rsid w:val="00A719ED"/>
    <w:rsid w:val="00A72A68"/>
    <w:rsid w:val="00A73DC5"/>
    <w:rsid w:val="00A7605B"/>
    <w:rsid w:val="00A76C4D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40E9"/>
    <w:rsid w:val="00A94155"/>
    <w:rsid w:val="00A94DBB"/>
    <w:rsid w:val="00A9507C"/>
    <w:rsid w:val="00A95AB6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21D3"/>
    <w:rsid w:val="00AB44D8"/>
    <w:rsid w:val="00AB4A50"/>
    <w:rsid w:val="00AB4CA6"/>
    <w:rsid w:val="00AB51EC"/>
    <w:rsid w:val="00AB53FB"/>
    <w:rsid w:val="00AB5A92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9C8"/>
    <w:rsid w:val="00AE6FEE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D7F"/>
    <w:rsid w:val="00AF6307"/>
    <w:rsid w:val="00AF664B"/>
    <w:rsid w:val="00AF690D"/>
    <w:rsid w:val="00AF7E39"/>
    <w:rsid w:val="00B015D6"/>
    <w:rsid w:val="00B02081"/>
    <w:rsid w:val="00B025CC"/>
    <w:rsid w:val="00B02967"/>
    <w:rsid w:val="00B03AA8"/>
    <w:rsid w:val="00B05229"/>
    <w:rsid w:val="00B10BF8"/>
    <w:rsid w:val="00B11D4E"/>
    <w:rsid w:val="00B11E51"/>
    <w:rsid w:val="00B1294C"/>
    <w:rsid w:val="00B12FCC"/>
    <w:rsid w:val="00B130AD"/>
    <w:rsid w:val="00B14AA7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5A4C"/>
    <w:rsid w:val="00B96D28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B6865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616B2"/>
    <w:rsid w:val="00C62289"/>
    <w:rsid w:val="00C6301C"/>
    <w:rsid w:val="00C63B8B"/>
    <w:rsid w:val="00C64BDD"/>
    <w:rsid w:val="00C64F6F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1D4E"/>
    <w:rsid w:val="00CA2977"/>
    <w:rsid w:val="00CA37A3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72B"/>
    <w:rsid w:val="00D218A5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60EF"/>
    <w:rsid w:val="00D667A0"/>
    <w:rsid w:val="00D66B6F"/>
    <w:rsid w:val="00D67102"/>
    <w:rsid w:val="00D67FB1"/>
    <w:rsid w:val="00D716D5"/>
    <w:rsid w:val="00D73055"/>
    <w:rsid w:val="00D738FB"/>
    <w:rsid w:val="00D73DD1"/>
    <w:rsid w:val="00D742CB"/>
    <w:rsid w:val="00D748CB"/>
    <w:rsid w:val="00D751EE"/>
    <w:rsid w:val="00D76BDA"/>
    <w:rsid w:val="00D77923"/>
    <w:rsid w:val="00D77DE7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3310"/>
    <w:rsid w:val="00D9342D"/>
    <w:rsid w:val="00D93959"/>
    <w:rsid w:val="00D945CA"/>
    <w:rsid w:val="00D946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753"/>
    <w:rsid w:val="00DC7A2A"/>
    <w:rsid w:val="00DC7C85"/>
    <w:rsid w:val="00DD008F"/>
    <w:rsid w:val="00DD06AA"/>
    <w:rsid w:val="00DD10A6"/>
    <w:rsid w:val="00DD1440"/>
    <w:rsid w:val="00DD1E66"/>
    <w:rsid w:val="00DD39C2"/>
    <w:rsid w:val="00DD408C"/>
    <w:rsid w:val="00DD4EAA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3775"/>
    <w:rsid w:val="00E13FF6"/>
    <w:rsid w:val="00E14D22"/>
    <w:rsid w:val="00E14EAF"/>
    <w:rsid w:val="00E15593"/>
    <w:rsid w:val="00E1571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C74"/>
    <w:rsid w:val="00EB6E1C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CE"/>
    <w:rsid w:val="00ED7997"/>
    <w:rsid w:val="00ED7BF7"/>
    <w:rsid w:val="00ED7E92"/>
    <w:rsid w:val="00EE101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326F"/>
    <w:rsid w:val="00F03360"/>
    <w:rsid w:val="00F03A4A"/>
    <w:rsid w:val="00F0505D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699"/>
    <w:rsid w:val="00F428F3"/>
    <w:rsid w:val="00F43001"/>
    <w:rsid w:val="00F430A7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51C"/>
    <w:rsid w:val="00F92973"/>
    <w:rsid w:val="00F933E1"/>
    <w:rsid w:val="00F94688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8B9"/>
    <w:rsid w:val="00FF298C"/>
    <w:rsid w:val="00FF2CCB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A419A125-4418-4048-B217-8287DCD0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49</Pages>
  <Words>7982</Words>
  <Characters>45498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959</cp:revision>
  <cp:lastPrinted>2020-05-27T22:59:00Z</cp:lastPrinted>
  <dcterms:created xsi:type="dcterms:W3CDTF">2020-05-17T23:15:00Z</dcterms:created>
  <dcterms:modified xsi:type="dcterms:W3CDTF">2020-05-31T22:05:00Z</dcterms:modified>
</cp:coreProperties>
</file>