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color w:val="666666"/>
          <w:sz w:val="18"/>
        </w:rPr>
        <w:t>KLAR PARTNERS - SCREENING MEMO</w:t>
      </w:r>
    </w:p>
    <w:p>
      <w:pPr>
        <w:spacing w:before="0" w:after="40"/>
      </w:pPr>
      <w:r>
        <w:rPr>
          <w:rFonts w:ascii="Calibri" w:hAnsi="Calibri"/>
          <w:b/>
          <w:i w:val="0"/>
          <w:color w:val="1F3A5F"/>
          <w:sz w:val="44"/>
        </w:rPr>
        <w:t>Nordic Property Maintenance Roll-Up</w:t>
      </w:r>
    </w:p>
    <w:p>
      <w:pPr>
        <w:spacing w:before="0" w:after="200"/>
      </w:pPr>
      <w:r>
        <w:rPr>
          <w:rFonts w:ascii="Calibri" w:hAnsi="Calibri"/>
          <w:b w:val="0"/>
          <w:i/>
          <w:color w:val="666666"/>
          <w:sz w:val="26"/>
        </w:rPr>
        <w:t>The #2 platform behind PHM Group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</w:tcPr>
          <w:p>
            <w:r/>
            <w:r>
              <w:rPr>
                <w:b/>
                <w:color w:val="1F3A5F"/>
                <w:sz w:val="20"/>
              </w:rPr>
              <w:t>Sector</w:t>
            </w:r>
          </w:p>
        </w:tc>
        <w:tc>
          <w:tcPr>
            <w:tcW w:type="dxa" w:w="7654"/>
          </w:tcPr>
          <w:p>
            <w:r/>
            <w:r>
              <w:rPr>
                <w:color w:val="333333"/>
                <w:sz w:val="20"/>
              </w:rPr>
              <w:t>Property maintenance / janitorial (vaktmester, eiendomsdrift, fastighetsskötsel)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color w:val="1F3A5F"/>
                <w:sz w:val="20"/>
              </w:rPr>
              <w:t>Geography</w:t>
            </w:r>
          </w:p>
        </w:tc>
        <w:tc>
          <w:tcPr>
            <w:tcW w:type="dxa" w:w="7654"/>
          </w:tcPr>
          <w:p>
            <w:r/>
            <w:r>
              <w:rPr>
                <w:color w:val="333333"/>
                <w:sz w:val="20"/>
              </w:rPr>
              <w:t>Norway anchor; Nordic platform optionality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color w:val="1F3A5F"/>
                <w:sz w:val="20"/>
              </w:rPr>
              <w:t>Reference</w:t>
            </w:r>
          </w:p>
        </w:tc>
        <w:tc>
          <w:tcPr>
            <w:tcW w:type="dxa" w:w="7654"/>
          </w:tcPr>
          <w:p>
            <w:r/>
            <w:r>
              <w:rPr>
                <w:color w:val="333333"/>
                <w:sz w:val="20"/>
              </w:rPr>
              <w:t>PHM Group (Norvestor VIII, vintage 2017)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color w:val="1F3A5F"/>
                <w:sz w:val="20"/>
              </w:rPr>
              <w:t>Recommendation</w:t>
            </w:r>
          </w:p>
        </w:tc>
        <w:tc>
          <w:tcPr>
            <w:tcW w:type="dxa" w:w="7654"/>
          </w:tcPr>
          <w:p>
            <w:r/>
            <w:r>
              <w:rPr>
                <w:color w:val="333333"/>
                <w:sz w:val="20"/>
              </w:rPr>
              <w:t>PROCEED to Phase 2 origination on three named anchor candidates</w:t>
            </w:r>
          </w:p>
        </w:tc>
      </w:tr>
    </w:tbl>
    <w:p/>
    <w:p>
      <w:pPr>
        <w:spacing w:before="280" w:after="80"/>
      </w:pPr>
      <w:r>
        <w:rPr>
          <w:rFonts w:ascii="Calibri" w:hAnsi="Calibri"/>
          <w:b/>
          <w:i w:val="0"/>
          <w:color w:val="1F3A5F"/>
          <w:sz w:val="30"/>
        </w:rPr>
        <w:t>1.  Recommendation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0FA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/>
            <w:r>
              <w:rPr>
                <w:rFonts w:ascii="Calibri" w:hAnsi="Calibri"/>
                <w:b/>
                <w:color w:val="1F3A5F"/>
                <w:sz w:val="22"/>
              </w:rPr>
              <w:t>Proceed to Phase 2 origination. Anchor on a founder-led Norwegian janitor business (NOK 250-1,000m revenue) and execute 20-30 bolt-ons over five years to reach NOK 2.0-2.5bn platform revenue. Base case 2.5-2.8x MoM, 22-25% gross IRR. Critical path: secure anchor at &lt;9.5x within 18 months.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The Norwegian property maintenance market is fragmented enough to support a second consolidator. PHM at &lt;5% share leaves NOK 14-24bn of unconsolidated market behind them; the supply set of acquirable mid-market operators is 200+ named entities; the M&amp;A playbook is validated by PHM's own seven-year trajectory. The investment case is not built on out-running PHM head-to-head but on absorbing a different slice of the same fragmented market - commercial-tilt, complementary geography (Mid-Norway / Vestland), and selective Nordic expansion.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The gating risk is anchor access at a disciplined multiple. With three founder-led candidates in the pipeline and category multiples rebased to 7-9x (from 11-13x in 2022), the entry environment is constructive. Push-backs and conditions in Section 4.</w:t>
      </w:r>
    </w:p>
    <w:p>
      <w:pPr>
        <w:spacing w:before="280" w:after="80"/>
      </w:pPr>
      <w:r>
        <w:rPr>
          <w:rFonts w:ascii="Calibri" w:hAnsi="Calibri"/>
          <w:b/>
          <w:i w:val="0"/>
          <w:color w:val="1F3A5F"/>
          <w:sz w:val="30"/>
        </w:rPr>
        <w:t>2.  Why This Market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Test</w:t>
            </w:r>
          </w:p>
        </w:tc>
        <w:tc>
          <w:tcPr>
            <w:tcW w:type="dxa" w:w="7370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Read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TAM (Norway)</w:t>
            </w:r>
          </w:p>
        </w:tc>
        <w:tc>
          <w:tcPr>
            <w:tcW w:type="dxa" w:w="737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NOK 15-25bn addressable; NOK 55-80bn Nordic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Growth</w:t>
            </w:r>
          </w:p>
        </w:tc>
        <w:tc>
          <w:tcPr>
            <w:tcW w:type="dxa" w:w="737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4-6% nominal, 1-2% real - moderate but visible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Fragmentation</w:t>
            </w:r>
          </w:p>
        </w:tc>
        <w:tc>
          <w:tcPr>
            <w:tcW w:type="dxa" w:w="737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Top 5 players &lt;25% share; PHM &lt;5%; ~12,000 registered FM entities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Recurring revenue</w:t>
            </w:r>
          </w:p>
        </w:tc>
        <w:tc>
          <w:tcPr>
            <w:tcW w:type="dxa" w:w="737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70-85% under multi-year framework agreements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Customer concentration</w:t>
            </w:r>
          </w:p>
        </w:tc>
        <w:tc>
          <w:tcPr>
            <w:tcW w:type="dxa" w:w="737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Low - typical largest customer &lt;5%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Capex intensity</w:t>
            </w:r>
          </w:p>
        </w:tc>
        <w:tc>
          <w:tcPr>
            <w:tcW w:type="dxa" w:w="737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&lt;2% of revenue; working capital and small fleet only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Cash conversion</w:t>
            </w:r>
          </w:p>
        </w:tc>
        <w:tc>
          <w:tcPr>
            <w:tcW w:type="dxa" w:w="737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75-90% EBITDA-to-FCF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Regulatory shield</w:t>
            </w:r>
          </w:p>
        </w:tc>
        <w:tc>
          <w:tcPr>
            <w:tcW w:type="dxa" w:w="737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Allmenngjøringsloven creates labour-cost floor; disadvantages informal operators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Cyclicality</w:t>
            </w:r>
          </w:p>
        </w:tc>
        <w:tc>
          <w:tcPr>
            <w:tcW w:type="dxa" w:w="737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Low operationally; demand resilient through cycle (proven 2020)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Calibri" w:hAnsi="Calibri"/>
          <w:b/>
          <w:i w:val="0"/>
          <w:color w:val="333333"/>
          <w:sz w:val="23"/>
        </w:rPr>
        <w:t>Why now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Generational handover. Two-thirds of Norwegian mid-market FM businesses (NOK 100-500m revenue) were founded 1985-2000; founders now aged 60+.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Multiples have rebased. Platform multiples 7-9x (down from 11-13x in 2022); bolt-on multiples 4-6x for sub-NOK 100m targets. Constructive entry.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PHM has proven the playbook works in this geography. We are not testing whether the strategy is viable; we are executing a validated strategy with our own positioning.</w:t>
      </w:r>
    </w:p>
    <w:p>
      <w:pPr>
        <w:spacing w:before="280" w:after="80"/>
      </w:pPr>
      <w:r>
        <w:rPr>
          <w:rFonts w:ascii="Calibri" w:hAnsi="Calibri"/>
          <w:b/>
          <w:i w:val="0"/>
          <w:color w:val="1F3A5F"/>
          <w:sz w:val="30"/>
        </w:rPr>
        <w:t>3.  The Platform Construction</w:t>
      </w:r>
    </w:p>
    <w:p>
      <w:pPr>
        <w:spacing w:before="160" w:after="40"/>
      </w:pPr>
      <w:r>
        <w:rPr>
          <w:rFonts w:ascii="Calibri" w:hAnsi="Calibri"/>
          <w:b/>
          <w:i w:val="0"/>
          <w:color w:val="333333"/>
          <w:sz w:val="23"/>
        </w:rPr>
        <w:t>3.1  Positioning vs. PHM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PHM is residential-focused (~70% mix), Oslo-concentrated, pure janitor / property maintenance. Our platform tilts commercial property (offices, retail, public sector buildings) and geographically anchors outside PHM's core Oslo / Akershus density. Same TAM, different slice. We compete with PHM for some bolt-ons; we do not need to win every one.</w:t>
      </w:r>
    </w:p>
    <w:p>
      <w:pPr>
        <w:spacing w:before="160" w:after="40"/>
      </w:pPr>
      <w:r>
        <w:rPr>
          <w:rFonts w:ascii="Calibri" w:hAnsi="Calibri"/>
          <w:b/>
          <w:i w:val="0"/>
          <w:color w:val="333333"/>
          <w:sz w:val="23"/>
        </w:rPr>
        <w:t>3.2  Five-year construction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850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Year</w:t>
            </w:r>
          </w:p>
        </w:tc>
        <w:tc>
          <w:tcPr>
            <w:tcW w:type="dxa" w:w="3969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Activity</w:t>
            </w:r>
          </w:p>
        </w:tc>
        <w:tc>
          <w:tcPr>
            <w:tcW w:type="dxa" w:w="1417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Revenue (NOKm)</w:t>
            </w:r>
          </w:p>
        </w:tc>
        <w:tc>
          <w:tcPr>
            <w:tcW w:type="dxa" w:w="1417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EBITDA margin</w:t>
            </w:r>
          </w:p>
        </w:tc>
        <w:tc>
          <w:tcPr>
            <w:tcW w:type="dxa" w:w="1984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EBITDA (NOKm)</w:t>
            </w:r>
          </w:p>
        </w:tc>
      </w:tr>
      <w:tr>
        <w:tc>
          <w:tcPr>
            <w:tcW w:type="dxa" w:w="85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Y0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Anchor acquisition; integration team in place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300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8.5%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26</w:t>
            </w:r>
          </w:p>
        </w:tc>
      </w:tr>
      <w:tr>
        <w:tc>
          <w:tcPr>
            <w:tcW w:type="dxa" w:w="85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Y1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3-5 bolt-ons; route density Oslo + anchor region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550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9.0%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50</w:t>
            </w:r>
          </w:p>
        </w:tc>
      </w:tr>
      <w:tr>
        <w:tc>
          <w:tcPr>
            <w:tcW w:type="dxa" w:w="85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Y2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5-7 bolt-ons including one mid-sized; procurement consolidation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950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9.5%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90</w:t>
            </w:r>
          </w:p>
        </w:tc>
      </w:tr>
      <w:tr>
        <w:tc>
          <w:tcPr>
            <w:tcW w:type="dxa" w:w="85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Y3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5-7 bolt-ons; Nimlas cross-sell pilot; recap optionality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1,400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10.5%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147</w:t>
            </w:r>
          </w:p>
        </w:tc>
      </w:tr>
      <w:tr>
        <w:tc>
          <w:tcPr>
            <w:tcW w:type="dxa" w:w="85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Y4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4-6 bolt-ons; Sweden probe via Ocab introductions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1,800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11.0%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198</w:t>
            </w:r>
          </w:p>
        </w:tc>
      </w:tr>
      <w:tr>
        <w:tc>
          <w:tcPr>
            <w:tcW w:type="dxa" w:w="85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Y5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Exit preparation; tidying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2,200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11.5%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253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Anchor enters at 8.5-10x EBITDA. Bolt-ons blend at 5-6x EBITDA. Weighted-average acquisition multiple ~6.5x. Exit at 11-12x on NOK 250m EBITDA implies EV NOK 2.8-3.0bn. The buy-vs-build spread of 4.5-5.5 turns is the core return engine; organic growth and margin expansion are secondary.</w:t>
      </w:r>
    </w:p>
    <w:p>
      <w:pPr>
        <w:spacing w:before="160" w:after="40"/>
      </w:pPr>
      <w:r>
        <w:rPr>
          <w:rFonts w:ascii="Calibri" w:hAnsi="Calibri"/>
          <w:b/>
          <w:i w:val="0"/>
          <w:color w:val="333333"/>
          <w:sz w:val="23"/>
        </w:rPr>
        <w:t>3.3  Margin expansion path (8.5% to 11.5%)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252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Lever</w:t>
            </w:r>
          </w:p>
        </w:tc>
        <w:tc>
          <w:tcPr>
            <w:tcW w:type="dxa" w:w="1701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Uplift</w:t>
            </w:r>
          </w:p>
        </w:tc>
        <w:tc>
          <w:tcPr>
            <w:tcW w:type="dxa" w:w="3685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Confidence</w:t>
            </w:r>
          </w:p>
        </w:tc>
      </w:tr>
      <w:tr>
        <w:tc>
          <w:tcPr>
            <w:tcW w:type="dxa" w:w="425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Route density (Oslo, Bergen, Trondheim corridors)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+100-150 bps</w:t>
            </w:r>
          </w:p>
        </w:tc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High; direct PHM precedent</w:t>
            </w:r>
          </w:p>
        </w:tc>
      </w:tr>
      <w:tr>
        <w:tc>
          <w:tcPr>
            <w:tcW w:type="dxa" w:w="425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Procurement consolidation (chemicals, fleet, insurance)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+50-80 bps</w:t>
            </w:r>
          </w:p>
        </w:tc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High; mechanical via bolt-ons</w:t>
            </w:r>
          </w:p>
        </w:tc>
      </w:tr>
      <w:tr>
        <w:tc>
          <w:tcPr>
            <w:tcW w:type="dxa" w:w="425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Digital workforce scheduling and dispatch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+30-50 bps</w:t>
            </w:r>
          </w:p>
        </w:tc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Medium; implementation cost NOK 15-25m</w:t>
            </w:r>
          </w:p>
        </w:tc>
      </w:tr>
      <w:tr>
        <w:tc>
          <w:tcPr>
            <w:tcW w:type="dxa" w:w="425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Nimlas-adjacent technical service cross-sell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+20-40 bps</w:t>
            </w:r>
          </w:p>
        </w:tc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Medium; requires capability transfer</w:t>
            </w:r>
          </w:p>
        </w:tc>
      </w:tr>
      <w:tr>
        <w:tc>
          <w:tcPr>
            <w:tcW w:type="dxa" w:w="425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Back-office consolidation post-PMI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+20-40 bps</w:t>
            </w:r>
          </w:p>
        </w:tc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High; standard playbook</w:t>
            </w:r>
          </w:p>
        </w:tc>
      </w:tr>
      <w:tr>
        <w:tc>
          <w:tcPr>
            <w:tcW w:type="dxa" w:w="425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Total margin expansion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+220-360 bps</w:t>
            </w:r>
          </w:p>
        </w:tc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Mid-range 280-300 bps is the underwrite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Calibri" w:hAnsi="Calibri"/>
          <w:b/>
          <w:i w:val="0"/>
          <w:color w:val="1F3A5F"/>
          <w:sz w:val="30"/>
        </w:rPr>
        <w:t>4.  Pushbacks and Conditions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Not a layup. Five real pushbacks, each with our response and the test that would either confirm or kill the relevant assumption.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Pushback</w:t>
            </w:r>
          </w:p>
        </w:tc>
        <w:tc>
          <w:tcPr>
            <w:tcW w:type="dxa" w:w="4252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Response</w:t>
            </w:r>
          </w:p>
        </w:tc>
        <w:tc>
          <w:tcPr>
            <w:tcW w:type="dxa" w:w="2835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Test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PHM has a nine-year head start - they own the deal flow</w:t>
            </w:r>
          </w:p>
        </w:tc>
        <w:tc>
          <w:tcPr>
            <w:tcW w:type="dxa" w:w="425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True for residential / Oslo. Our positioning (commercial + Mid-Norway / Vestland) is structurally different. We will lose some deals to PHM; we do not need to win them all</w:t>
            </w:r>
          </w:p>
        </w:tc>
        <w:tc>
          <w:tcPr>
            <w:tcW w:type="dxa" w:w="28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Track bolt-on competitive dynamics in Y1-Y2; if hit rate &lt;40% on targeted deals, slow the M&amp;A pace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Norvestor exits PHM 2026-2027; new owner has more capital</w:t>
            </w:r>
          </w:p>
        </w:tc>
        <w:tc>
          <w:tcPr>
            <w:tcW w:type="dxa" w:w="425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Plausible but not certain. New owner may also focus on integration over M&amp;A in Y1-Y2 post-acquisition. And market is large enough for both to grow</w:t>
            </w:r>
          </w:p>
        </w:tc>
        <w:tc>
          <w:tcPr>
            <w:tcW w:type="dxa" w:w="28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Monitor PHM M&amp;A cadence Q3 2026 onwards; trigger re-pricing if PHM closes &gt;10 deals/yr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Bolt-on multiples drift up as competition intensifies</w:t>
            </w:r>
          </w:p>
        </w:tc>
        <w:tc>
          <w:tcPr>
            <w:tcW w:type="dxa" w:w="425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Possible. Our model uses 5-6x blended; downside case at 7x compresses IRR by ~250 bps but stays above 18%</w:t>
            </w:r>
          </w:p>
        </w:tc>
        <w:tc>
          <w:tcPr>
            <w:tcW w:type="dxa" w:w="28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Quarterly transaction comp tracking; renegotiate pipeline if multiples breach 7.5x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Right to win is generic Nordic services playbook</w:t>
            </w:r>
          </w:p>
        </w:tc>
        <w:tc>
          <w:tcPr>
            <w:tcW w:type="dxa" w:w="425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True at headline level. Specific advantages: Nimlas technical bundling (30-50 bps EBITDA), Ocab Swedish footprint for cross-Nordic intel and customer introductions, KLAR operating partner bench</w:t>
            </w:r>
          </w:p>
        </w:tc>
        <w:tc>
          <w:tcPr>
            <w:tcW w:type="dxa" w:w="28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Articulated in Phase 2 management pitches; refined with anchor management team's input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Margin expansion of 280-300 bps is aggressive for labour services</w:t>
            </w:r>
          </w:p>
        </w:tc>
        <w:tc>
          <w:tcPr>
            <w:tcW w:type="dxa" w:w="425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Within range of PHM's own margin trajectory (estimated 6-7% at anchor in 2017 to 10-12% today). Standard PE roll-up arithmetic</w:t>
            </w:r>
          </w:p>
        </w:tc>
        <w:tc>
          <w:tcPr>
            <w:tcW w:type="dxa" w:w="28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Operational diligence on density and procurement opportunity at the anchor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Calibri" w:hAnsi="Calibri"/>
          <w:b/>
          <w:i w:val="0"/>
          <w:color w:val="1F3A5F"/>
          <w:sz w:val="30"/>
        </w:rPr>
        <w:t>5.  Returns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969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1984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Base case</w:t>
            </w:r>
          </w:p>
        </w:tc>
        <w:tc>
          <w:tcPr>
            <w:tcW w:type="dxa" w:w="1984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Upside</w:t>
            </w:r>
          </w:p>
        </w:tc>
        <w:tc>
          <w:tcPr>
            <w:tcW w:type="dxa" w:w="1701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Downside</w:t>
            </w:r>
          </w:p>
        </w:tc>
      </w:tr>
      <w:tr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Anchor revenue at entry (NOKm)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300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750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300</w:t>
            </w:r>
          </w:p>
        </w:tc>
      </w:tr>
      <w:tr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Anchor entry multiple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9.5x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9.5x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10.5x</w:t>
            </w:r>
          </w:p>
        </w:tc>
      </w:tr>
      <w:tr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Anchor entry EV (NOKm)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245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615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270</w:t>
            </w:r>
          </w:p>
        </w:tc>
      </w:tr>
      <w:tr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Bolt-ons closed Y1-Y5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22-26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30+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12-15</w:t>
            </w:r>
          </w:p>
        </w:tc>
      </w:tr>
      <w:tr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Blended bolt-on multiple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6.0x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5.5x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7.0x</w:t>
            </w:r>
          </w:p>
        </w:tc>
      </w:tr>
      <w:tr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Bolt-on EV deployed Y1-Y5 (NOKm)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950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1,400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560</w:t>
            </w:r>
          </w:p>
        </w:tc>
      </w:tr>
      <w:tr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Y5 platform revenue (NOKm)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2,200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3,000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1,400</w:t>
            </w:r>
          </w:p>
        </w:tc>
      </w:tr>
      <w:tr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Y5 EBITDA margin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11.5%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12.5%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10.0%</w:t>
            </w:r>
          </w:p>
        </w:tc>
      </w:tr>
      <w:tr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Y5 EBITDA (NOKm)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253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375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140</w:t>
            </w:r>
          </w:p>
        </w:tc>
      </w:tr>
      <w:tr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Exit multiple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11.5x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13.0x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9.5x</w:t>
            </w:r>
          </w:p>
        </w:tc>
      </w:tr>
      <w:tr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Exit EV (NOKm)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2,910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4,875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1,330</w:t>
            </w:r>
          </w:p>
        </w:tc>
      </w:tr>
      <w:tr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Total invested equity (NOKm)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900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1,250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750</w:t>
            </w:r>
          </w:p>
        </w:tc>
      </w:tr>
      <w:tr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Gross MoM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2.5 - 2.8x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3.2 - 3.5x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1.5 - 1.8x</w:t>
            </w:r>
          </w:p>
        </w:tc>
      </w:tr>
      <w:tr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Gross IRR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22 - 25%</w:t>
            </w:r>
          </w:p>
        </w:tc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28 - 32%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8 - 12%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Base case clears the platform-slot hurdle (&gt;2.5x, &gt;20% IRR). Downside is capital-preservation territory but not capital destruction - the asset's recurring-revenue base and cash conversion provide structural floor.</w:t>
      </w:r>
    </w:p>
    <w:p>
      <w:pPr>
        <w:spacing w:before="280" w:after="80"/>
      </w:pPr>
      <w:r>
        <w:rPr>
          <w:rFonts w:ascii="Calibri" w:hAnsi="Calibri"/>
          <w:b/>
          <w:i w:val="0"/>
          <w:color w:val="1F3A5F"/>
          <w:sz w:val="30"/>
        </w:rPr>
        <w:t>6.  Anchor and Bolt-On Pipeline</w:t>
      </w:r>
    </w:p>
    <w:p>
      <w:pPr>
        <w:spacing w:before="160" w:after="40"/>
      </w:pPr>
      <w:r>
        <w:rPr>
          <w:rFonts w:ascii="Calibri" w:hAnsi="Calibri"/>
          <w:b/>
          <w:i w:val="0"/>
          <w:color w:val="333333"/>
          <w:sz w:val="23"/>
        </w:rPr>
        <w:t>6.1  Anchor candidates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268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Anchor</w:t>
            </w:r>
          </w:p>
        </w:tc>
        <w:tc>
          <w:tcPr>
            <w:tcW w:type="dxa" w:w="1417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HQ</w:t>
            </w:r>
          </w:p>
        </w:tc>
        <w:tc>
          <w:tcPr>
            <w:tcW w:type="dxa" w:w="1304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Rev FY24E (NOKm)</w:t>
            </w:r>
          </w:p>
        </w:tc>
        <w:tc>
          <w:tcPr>
            <w:tcW w:type="dxa" w:w="964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3685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Read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Vaktmesterkompaniet AS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Oslo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~1,000</w:t>
            </w:r>
          </w:p>
        </w:tc>
        <w:tc>
          <w:tcPr>
            <w:tcW w:type="dxa" w:w="9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Founder</w:t>
            </w:r>
          </w:p>
        </w:tc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Closest PHM analog; pure janitor model; ~10 small bolt-ons completed. Risk: PHM likely in dialogue; multi-bidder process; entry at 9-11x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Din Vaktmester AS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Trondheim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250-350</w:t>
            </w:r>
          </w:p>
        </w:tc>
        <w:tc>
          <w:tcPr>
            <w:tcW w:type="dxa" w:w="9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Founder</w:t>
            </w:r>
          </w:p>
        </w:tc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Preferred starting point for an asymmetric thesis. Mid-Norway base PHM has not built; pure culture; lower competing-bidder intensity; smaller cheque allows opportunistic mid-sized bolt-ons in Y1-Y2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Insider Group AS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Høvik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1,000-1,100</w:t>
            </w:r>
          </w:p>
        </w:tc>
        <w:tc>
          <w:tcPr>
            <w:tcW w:type="dxa" w:w="9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Family</w:t>
            </w:r>
          </w:p>
        </w:tc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Recent Mitie Norway carve-out (2024) demonstrates M&amp;A muscle. Caveat: mix is &gt;50% cleaning rather than property maintenance; need to validate property-maintenance share before anchor decision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Calibri" w:hAnsi="Calibri"/>
          <w:b/>
          <w:i w:val="0"/>
          <w:color w:val="333333"/>
          <w:sz w:val="23"/>
        </w:rPr>
        <w:t>6.2  Tier-1 named bolt-ons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268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HQ</w:t>
            </w:r>
          </w:p>
        </w:tc>
        <w:tc>
          <w:tcPr>
            <w:tcW w:type="dxa" w:w="1701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Rev FY24E (NOKm)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Bygårdsservice AS</w:t>
            </w:r>
          </w:p>
        </w:tc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Oslo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80-120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Aktiv Eiendomsdrift AS</w:t>
            </w:r>
          </w:p>
        </w:tc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Roa (Innlandet)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60-100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Eiendomspartner 1 AS</w:t>
            </w:r>
          </w:p>
        </w:tc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Bergen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150-220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Ability FM / Ability Gruppen</w:t>
            </w:r>
          </w:p>
        </w:tc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Bergen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250-400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Toma Eiendomsdrift AS (potential carve-out)</w:t>
            </w:r>
          </w:p>
        </w:tc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Oslo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200-300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Facilitec AS (Insider sub - if not anchor)</w:t>
            </w:r>
          </w:p>
        </w:tc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Lørenskog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200-300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BBL Daglig Drift AS</w:t>
            </w:r>
          </w:p>
        </w:tc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Oslo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100-150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Conluo Facility Services AS</w:t>
            </w:r>
          </w:p>
        </w:tc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Oslo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150-250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Hvass AS</w:t>
            </w:r>
          </w:p>
        </w:tc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Oslo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60-90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Bygård Vaktmesteren AS</w:t>
            </w:r>
          </w:p>
        </w:tc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Oslo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50-80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RSV Gruppen AS</w:t>
            </w:r>
          </w:p>
        </w:tc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Bergen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60-100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Resolve AS</w:t>
            </w:r>
          </w:p>
        </w:tc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Risør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50-80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Total Eiendomsservice AS</w:t>
            </w:r>
          </w:p>
        </w:tc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Drammen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50-90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Northroads AS</w:t>
            </w:r>
          </w:p>
        </w:tc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Mo i Rana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80-130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Allianse Service Partner AS</w:t>
            </w:r>
          </w:p>
        </w:tc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Oslo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100-160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Tier-1 named bolt-ons aggregate to NOK 1.6-2.6bn revenue. The tail (35-50 small operators at NOK 30-100m revenue) adds another NOK 1.5-3.0bn. Net of PHM's parallel absorption pace (5-8 deals/yr), our realistic Y1-Y5 pipeline of 22-26 closed bolt-ons is well-covered.</w:t>
      </w:r>
    </w:p>
    <w:p>
      <w:pPr>
        <w:spacing w:before="280" w:after="80"/>
      </w:pPr>
      <w:r>
        <w:rPr>
          <w:rFonts w:ascii="Calibri" w:hAnsi="Calibri"/>
          <w:b/>
          <w:i w:val="0"/>
          <w:color w:val="1F3A5F"/>
          <w:sz w:val="30"/>
        </w:rPr>
        <w:t>7.  KLAR Framework Scoring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1701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Score</w:t>
            </w:r>
          </w:p>
        </w:tc>
        <w:tc>
          <w:tcPr>
            <w:tcW w:type="dxa" w:w="5102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Rationale</w:t>
            </w:r>
          </w:p>
        </w:tc>
      </w:tr>
      <w:tr>
        <w:tc>
          <w:tcPr>
            <w:tcW w:type="dxa" w:w="28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4KQ - Why this market?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  <w:tc>
          <w:tcPr>
            <w:tcW w:type="dxa" w:w="51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Fragmented, recurring, regulation-shielded, downside-protected. Standard KLAR sector profile</w:t>
            </w:r>
          </w:p>
        </w:tc>
      </w:tr>
      <w:tr>
        <w:tc>
          <w:tcPr>
            <w:tcW w:type="dxa" w:w="28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4KQ - Why this asset (construction)?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Pass, conditional on anchor</w:t>
            </w:r>
          </w:p>
        </w:tc>
        <w:tc>
          <w:tcPr>
            <w:tcW w:type="dxa" w:w="51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Three credible anchors; bolt-on supply ample. Gating risk is access at disciplined multiple</w:t>
            </w:r>
          </w:p>
        </w:tc>
      </w:tr>
      <w:tr>
        <w:tc>
          <w:tcPr>
            <w:tcW w:type="dxa" w:w="28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4KQ - Why now?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  <w:tc>
          <w:tcPr>
            <w:tcW w:type="dxa" w:w="51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Founder handover wave; multiples rebased; PHM exit reshapes (not removes) competitive dynamic</w:t>
            </w:r>
          </w:p>
        </w:tc>
      </w:tr>
      <w:tr>
        <w:tc>
          <w:tcPr>
            <w:tcW w:type="dxa" w:w="28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4KQ - Why KLAR?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Acceptable</w:t>
            </w:r>
          </w:p>
        </w:tc>
        <w:tc>
          <w:tcPr>
            <w:tcW w:type="dxa" w:w="51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Nimlas technical bundling and Ocab Swedish footprint give a real, if modest, differentiation. Generic Nordic services playbook is the baseline</w:t>
            </w:r>
          </w:p>
        </w:tc>
      </w:tr>
      <w:tr>
        <w:tc>
          <w:tcPr>
            <w:tcW w:type="dxa" w:w="28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Triple A - Attractive market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</w:t>
            </w:r>
          </w:p>
        </w:tc>
        <w:tc>
          <w:tcPr>
            <w:tcW w:type="dxa" w:w="51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Sector profile clean</w:t>
            </w:r>
          </w:p>
        </w:tc>
      </w:tr>
      <w:tr>
        <w:tc>
          <w:tcPr>
            <w:tcW w:type="dxa" w:w="28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Triple A - Attractive business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A-</w:t>
            </w:r>
          </w:p>
        </w:tc>
        <w:tc>
          <w:tcPr>
            <w:tcW w:type="dxa" w:w="51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Strong on recurring revenue and cash conversion; ceiling on real pricing power</w:t>
            </w:r>
          </w:p>
        </w:tc>
      </w:tr>
      <w:tr>
        <w:tc>
          <w:tcPr>
            <w:tcW w:type="dxa" w:w="28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Triple A - Attractive entry / exit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A-</w:t>
            </w:r>
          </w:p>
        </w:tc>
        <w:tc>
          <w:tcPr>
            <w:tcW w:type="dxa" w:w="51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Entry environment constructive; sponsor-to-sponsor exit base case (6-10 credible buyers)</w:t>
            </w:r>
          </w:p>
        </w:tc>
      </w:tr>
      <w:tr>
        <w:tc>
          <w:tcPr>
            <w:tcW w:type="dxa" w:w="28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KCA composite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3.9 / 5.0</w:t>
            </w:r>
          </w:p>
        </w:tc>
        <w:tc>
          <w:tcPr>
            <w:tcW w:type="dxa" w:w="51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B+ asset, A- platform via consolidation. Detail in Appendix A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Calibri" w:hAnsi="Calibri"/>
          <w:b/>
          <w:i w:val="0"/>
          <w:color w:val="1F3A5F"/>
          <w:sz w:val="30"/>
        </w:rPr>
        <w:t>8.  Path to IC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402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Workstream</w:t>
            </w:r>
          </w:p>
        </w:tc>
        <w:tc>
          <w:tcPr>
            <w:tcW w:type="dxa" w:w="1587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247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3402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Decision gate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Anchor access - Din Vaktmester (preferred)</w:t>
            </w:r>
          </w:p>
        </w:tc>
        <w:tc>
          <w:tcPr>
            <w:tcW w:type="dxa" w:w="158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[Origination]</w:t>
            </w:r>
          </w:p>
        </w:tc>
        <w:tc>
          <w:tcPr>
            <w:tcW w:type="dxa" w:w="124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Q3 2026</w:t>
            </w:r>
          </w:p>
        </w:tc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Founder posture on sale within 24 months; mgmt integration capability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Anchor access - Vaktmesterkompaniet</w:t>
            </w:r>
          </w:p>
        </w:tc>
        <w:tc>
          <w:tcPr>
            <w:tcW w:type="dxa" w:w="158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[Origination]</w:t>
            </w:r>
          </w:p>
        </w:tc>
        <w:tc>
          <w:tcPr>
            <w:tcW w:type="dxa" w:w="124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Q3 2026</w:t>
            </w:r>
          </w:p>
        </w:tc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Confirm whether PHM in advanced dialogue; valuation expectation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Anchor access - Insider Group</w:t>
            </w:r>
          </w:p>
        </w:tc>
        <w:tc>
          <w:tcPr>
            <w:tcW w:type="dxa" w:w="158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[Origination]</w:t>
            </w:r>
          </w:p>
        </w:tc>
        <w:tc>
          <w:tcPr>
            <w:tcW w:type="dxa" w:w="124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Q4 2026</w:t>
            </w:r>
          </w:p>
        </w:tc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Validate property-maintenance share of mix post-Mitie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Sector commercial diligence (third party, scoped)</w:t>
            </w:r>
          </w:p>
        </w:tc>
        <w:tc>
          <w:tcPr>
            <w:tcW w:type="dxa" w:w="158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[Deal team]</w:t>
            </w:r>
          </w:p>
        </w:tc>
        <w:tc>
          <w:tcPr>
            <w:tcW w:type="dxa" w:w="124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Q4 2026</w:t>
            </w:r>
          </w:p>
        </w:tc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TAM validation; PHM positioning; bolt-on multiple discipline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Bolt-on pipeline diligence (top 15 named)</w:t>
            </w:r>
          </w:p>
        </w:tc>
        <w:tc>
          <w:tcPr>
            <w:tcW w:type="dxa" w:w="158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[Deal team + analyst]</w:t>
            </w:r>
          </w:p>
        </w:tc>
        <w:tc>
          <w:tcPr>
            <w:tcW w:type="dxa" w:w="124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Q4 2026</w:t>
            </w:r>
          </w:p>
        </w:tc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Confirm Y1-Y2 acquired-revenue pipeline &gt;NOK 250m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Sweden optionality scan via Ocab</w:t>
            </w:r>
          </w:p>
        </w:tc>
        <w:tc>
          <w:tcPr>
            <w:tcW w:type="dxa" w:w="158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[Stockholm]</w:t>
            </w:r>
          </w:p>
        </w:tc>
        <w:tc>
          <w:tcPr>
            <w:tcW w:type="dxa" w:w="124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Q4 2026</w:t>
            </w:r>
          </w:p>
        </w:tc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Establish Y3+ Nordic extension feasibility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Regulatory diligence (allmenngjøring, wages)</w:t>
            </w:r>
          </w:p>
        </w:tc>
        <w:tc>
          <w:tcPr>
            <w:tcW w:type="dxa" w:w="158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[Legal counsel]</w:t>
            </w:r>
          </w:p>
        </w:tc>
        <w:tc>
          <w:tcPr>
            <w:tcW w:type="dxa" w:w="124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Q1 2027</w:t>
            </w:r>
          </w:p>
        </w:tc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No 24-month step-change risk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Calibri" w:hAnsi="Calibri"/>
          <w:b/>
          <w:i w:val="0"/>
          <w:color w:val="333333"/>
          <w:sz w:val="23"/>
        </w:rPr>
        <w:t>Conditions to advance to full IC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Management access secured on at least one anchor candidate.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Indicative anchor entry multiple &lt;9.5x.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Validated Y1-Y2 bolt-on pipeline of NOK 250m+ acquired revenue.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Third-party TAM and competitive validation.</w:t>
      </w:r>
    </w:p>
    <w:p>
      <w:pPr>
        <w:spacing w:before="160" w:after="40"/>
      </w:pPr>
      <w:r>
        <w:rPr>
          <w:rFonts w:ascii="Calibri" w:hAnsi="Calibri"/>
          <w:b/>
          <w:i w:val="0"/>
          <w:color w:val="333333"/>
          <w:sz w:val="23"/>
        </w:rPr>
        <w:t>Resourcing ask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One full-time origination resource for Q3-Q4 2026; external sector diligence budget NOK 1.5-2.5m. Re-screening checkpoint end-Q4 2026 on conditions above. No fund-slot commitment until full IC.</w:t>
      </w:r>
    </w:p>
    <w:p>
      <w:pPr>
        <w:spacing w:before="280" w:after="80"/>
      </w:pPr>
      <w:r>
        <w:rPr>
          <w:rFonts w:ascii="Calibri" w:hAnsi="Calibri"/>
          <w:b/>
          <w:i w:val="0"/>
          <w:color w:val="1F3A5F"/>
          <w:sz w:val="30"/>
        </w:rPr>
        <w:t>Appendix - Sources, Assumptions, Glossary</w:t>
      </w:r>
    </w:p>
    <w:p>
      <w:pPr>
        <w:spacing w:before="160" w:after="40"/>
      </w:pPr>
      <w:r>
        <w:rPr>
          <w:rFonts w:ascii="Calibri" w:hAnsi="Calibri"/>
          <w:b/>
          <w:i w:val="0"/>
          <w:color w:val="333333"/>
          <w:sz w:val="23"/>
        </w:rPr>
        <w:t>Sources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Screening universe of 75 verified Norwegian property service / FM / cleaning entities compiled from BoldData FY23 top-50 ranking, PE press releases, Konkurransetilsynet filings, PHM Annual Report 2024, Proff.no / Brønnøysundregistrene. Full screen in Norway_FM_Property_Services_PE_Screen.xlsx.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PHM Group financials (group revenue EUR 600-800m; Norway sub NOK 1.5-2.5bn) inferred from Norvestor commentary and Norwegian subsidiary filings.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Bolt-on multiple ranges (4-6x sub-NOK 100m; 6-8x sub-NOK 200m) inferred from PHM acquisition press releases and Nordic FM transaction comps 2021-2024.</w:t>
      </w:r>
    </w:p>
    <w:p>
      <w:pPr>
        <w:spacing w:before="160" w:after="40"/>
      </w:pPr>
      <w:r>
        <w:rPr>
          <w:rFonts w:ascii="Calibri" w:hAnsi="Calibri"/>
          <w:b/>
          <w:i w:val="0"/>
          <w:color w:val="333333"/>
          <w:sz w:val="23"/>
        </w:rPr>
        <w:t>Assumptions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TAM NOK 15-25bn Norway and NOK 55-80bn Nordic per the brief baseline, triangulated bottom-up against NACE 81.10/81.21 entity counts.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Returns model is illustrative; per-deal underwriting requires anchor-specific assumptions.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KLAR framework applications reflect the deal team's interpretation, pending partner review.</w:t>
      </w:r>
    </w:p>
    <w:p>
      <w:pPr>
        <w:spacing w:before="160" w:after="40"/>
      </w:pPr>
      <w:r>
        <w:rPr>
          <w:rFonts w:ascii="Calibri" w:hAnsi="Calibri"/>
          <w:b/>
          <w:i w:val="0"/>
          <w:color w:val="333333"/>
          <w:sz w:val="23"/>
        </w:rPr>
        <w:t>Glossary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Vaktmester - janitor / building caretaker.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Eiendomsdrift - property operations.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Fastighetsskötsel - (Swedish) property care / janitorial.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Borettslag - housing cooperative.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Sameie - condominium-style co-ownership.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Allmenngjøring(sloven) - law extending collective wage agreement application.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Renholdsoverenskomsten - collective wage agreement for cleaning services.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PMI - post-merger integration.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