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666666"/>
          <w:sz w:val="18"/>
        </w:rPr>
        <w:t>KLAR PARTNERS - SCREENING MEMO</w:t>
      </w:r>
    </w:p>
    <w:p>
      <w:pPr>
        <w:spacing w:before="0" w:after="40"/>
      </w:pPr>
      <w:r>
        <w:rPr>
          <w:rFonts w:ascii="Calibri" w:hAnsi="Calibri"/>
          <w:b/>
          <w:i w:val="0"/>
          <w:color w:val="1F3A5F"/>
          <w:sz w:val="44"/>
        </w:rPr>
        <w:t>Nordic Property Maintenance Roll-Up</w:t>
      </w:r>
    </w:p>
    <w:p>
      <w:pPr>
        <w:spacing w:before="0" w:after="200"/>
      </w:pPr>
      <w:r>
        <w:rPr>
          <w:rFonts w:ascii="Calibri" w:hAnsi="Calibri"/>
          <w:b w:val="0"/>
          <w:i/>
          <w:color w:val="666666"/>
          <w:sz w:val="26"/>
        </w:rPr>
        <w:t>Testing the #2-behind-PHM hypothesis</w:t>
      </w:r>
    </w:p>
    <w:tbl>
      <w:tblPr>
        <w:tblW w:type="auto" w:w="0"/>
        <w:tblLayout w:type="fixed"/>
        <w:tblLook w:firstColumn="1" w:firstRow="1" w:lastColumn="0" w:lastRow="0" w:noHBand="0" w:noVBand="1" w:val="04A0"/>
      </w:tblPr>
      <w:tblGrid>
        <w:gridCol w:w="4986"/>
        <w:gridCol w:w="4986"/>
      </w:tblGrid>
      <w:tr>
        <w:tc>
          <w:tcPr>
            <w:tcW w:type="dxa" w:w="1984"/>
          </w:tcPr>
          <w:p>
            <w:r/>
            <w:r>
              <w:rPr>
                <w:b/>
                <w:color w:val="1F3A5F"/>
                <w:sz w:val="20"/>
              </w:rPr>
              <w:t>Sector</w:t>
            </w:r>
          </w:p>
        </w:tc>
        <w:tc>
          <w:tcPr>
            <w:tcW w:type="dxa" w:w="7654"/>
          </w:tcPr>
          <w:p>
            <w:r/>
            <w:r>
              <w:rPr>
                <w:color w:val="333333"/>
                <w:sz w:val="20"/>
              </w:rPr>
              <w:t>Property maintenance / janitorial (vaktmester, eiendomsdrift, fastighetsskötsel)</w:t>
            </w:r>
          </w:p>
        </w:tc>
      </w:tr>
      <w:tr>
        <w:tc>
          <w:tcPr>
            <w:tcW w:type="dxa" w:w="1984"/>
          </w:tcPr>
          <w:p>
            <w:r/>
            <w:r>
              <w:rPr>
                <w:b/>
                <w:color w:val="1F3A5F"/>
                <w:sz w:val="20"/>
              </w:rPr>
              <w:t>Reference platform</w:t>
            </w:r>
          </w:p>
        </w:tc>
        <w:tc>
          <w:tcPr>
            <w:tcW w:type="dxa" w:w="7654"/>
          </w:tcPr>
          <w:p>
            <w:r/>
            <w:r>
              <w:rPr>
                <w:color w:val="333333"/>
                <w:sz w:val="20"/>
              </w:rPr>
              <w:t>PHM Group (Norvestor VIII, vintage 2017, EUR 600-800m group revenue)</w:t>
            </w:r>
          </w:p>
        </w:tc>
      </w:tr>
      <w:tr>
        <w:tc>
          <w:tcPr>
            <w:tcW w:type="dxa" w:w="1984"/>
          </w:tcPr>
          <w:p>
            <w:r/>
            <w:r>
              <w:rPr>
                <w:b/>
                <w:color w:val="1F3A5F"/>
                <w:sz w:val="20"/>
              </w:rPr>
              <w:t>Question posed</w:t>
            </w:r>
          </w:p>
        </w:tc>
        <w:tc>
          <w:tcPr>
            <w:tcW w:type="dxa" w:w="7654"/>
          </w:tcPr>
          <w:p>
            <w:r/>
            <w:r>
              <w:rPr>
                <w:color w:val="333333"/>
                <w:sz w:val="20"/>
              </w:rPr>
              <w:t>Is there a credible #2 Nordic platform construction behind PHM?</w:t>
            </w:r>
          </w:p>
        </w:tc>
      </w:tr>
      <w:tr>
        <w:tc>
          <w:tcPr>
            <w:tcW w:type="dxa" w:w="1984"/>
          </w:tcPr>
          <w:p>
            <w:r/>
            <w:r>
              <w:rPr>
                <w:b/>
                <w:color w:val="1F3A5F"/>
                <w:sz w:val="20"/>
              </w:rPr>
              <w:t>Conclusion</w:t>
            </w:r>
          </w:p>
        </w:tc>
        <w:tc>
          <w:tcPr>
            <w:tcW w:type="dxa" w:w="7654"/>
          </w:tcPr>
          <w:p>
            <w:r/>
            <w:r>
              <w:rPr>
                <w:color w:val="333333"/>
                <w:sz w:val="20"/>
              </w:rPr>
              <w:t>No, as framed. Two alternative constructions are materially more attractive.</w:t>
            </w:r>
          </w:p>
        </w:tc>
      </w:tr>
    </w:tbl>
    <w:p/>
    <w:p>
      <w:pPr>
        <w:spacing w:before="280" w:after="80"/>
      </w:pPr>
      <w:r>
        <w:rPr>
          <w:rFonts w:ascii="Calibri" w:hAnsi="Calibri"/>
          <w:b/>
          <w:i w:val="0"/>
          <w:color w:val="1F3A5F"/>
          <w:sz w:val="30"/>
        </w:rPr>
        <w:t>1.  Recommendation</w:t>
      </w:r>
    </w:p>
    <w:tbl>
      <w:tblPr>
        <w:tblW w:type="auto" w:w="0"/>
        <w:tblLook w:firstColumn="1" w:firstRow="1" w:lastColumn="0" w:lastRow="0" w:noHBand="0" w:noVBand="1" w:val="04A0"/>
      </w:tblPr>
      <w:tblGrid>
        <w:gridCol w:w="9972"/>
      </w:tblGrid>
      <w:tr>
        <w:tc>
          <w:tcPr>
            <w:tcW w:type="dxa" w:w="9972"/>
            <w:shd w:val="clear" w:color="auto" w:fill="FFF5E6"/>
            <w:tcBorders>
              <w:top w:val="single" w:sz="4" w:color="BFBFBF"/>
              <w:left w:val="single" w:sz="4" w:color="BFBFBF"/>
              <w:bottom w:val="single" w:sz="4" w:color="BFBFBF"/>
              <w:right w:val="single" w:sz="4" w:color="BFBFBF"/>
            </w:tcBorders>
          </w:tcPr>
          <w:p>
            <w:r/>
            <w:r>
              <w:rPr>
                <w:rFonts w:ascii="Calibri" w:hAnsi="Calibri"/>
                <w:b/>
                <w:color w:val="1F3A5F"/>
                <w:sz w:val="21"/>
              </w:rPr>
              <w:t>Pass on the Norway-led #2 roll-up as framed. Develop two alternatives where KLAR's right to win is genuinely defensible: (A) a Sweden-led fastighetsskötsel platform where PHM is sub-scale and the consolidation curve is six to eight years behind Norway, and (B) a technical FM consolidation extending from Nimlas, which is what our portfolio actually advantages us to build.</w:t>
            </w:r>
          </w:p>
        </w:tc>
      </w:tr>
    </w:tbl>
    <w:p>
      <w:pPr>
        <w:spacing w:after="0"/>
      </w:pPr>
    </w:p>
    <w:p>
      <w:pPr>
        <w:spacing w:before="0" w:after="80"/>
      </w:pPr>
      <w:r>
        <w:rPr>
          <w:rFonts w:ascii="Calibri" w:hAnsi="Calibri"/>
          <w:b w:val="0"/>
          <w:i w:val="0"/>
          <w:color w:val="333333"/>
          <w:sz w:val="21"/>
        </w:rPr>
        <w:t>The market passes the KLAR sector test (fragmented, recurring, regulation-shielded, labour-services-with-tailwinds). The competitive position does not. PHM has a nine-year operational lead in Norway, a validated 100-deal integration playbook, first-call status with founders, and is about to transition from Norvestor VIII to a larger sponsor that will deploy more bolt-on capital, not less. The 'white space' arguments (commercial property, Sweden, technical bundling) do not survive scrutiny because PHM can attack each one with more capital and a richer integration track record. Under a realistic case - not the downside, the realistic case - the platform delivers ~2.0x gross MoM and 15-18% IRR, below KLAR's platform-slot hurdle. The 2.5-3.0x outcome requires the base case to hold across bolt-on multiples, supply, margin expansion, and exit multiple simultaneously; we do not have a right to underwrite that confidence.</w:t>
      </w:r>
    </w:p>
    <w:p>
      <w:pPr>
        <w:spacing w:before="0" w:after="80"/>
      </w:pPr>
      <w:r>
        <w:rPr>
          <w:rFonts w:ascii="Calibri" w:hAnsi="Calibri"/>
          <w:b w:val="0"/>
          <w:i w:val="0"/>
          <w:color w:val="333333"/>
          <w:sz w:val="21"/>
        </w:rPr>
        <w:t>We should continue opportunistic origination on three named Norwegian anchor candidates (Din Vaktmester, Vaktmesterkompaniet, Insider Group) - they remain useful sources for cross-portfolio bolt-ons and competitive intelligence on PHM - but should not commit a fund slot to this thesis. The two alternative constructions (Sections 7B and 7C) warrant separate Phase 1 work over Q3-Q4 2026.</w:t>
      </w:r>
    </w:p>
    <w:p>
      <w:pPr>
        <w:spacing w:before="280" w:after="80"/>
      </w:pPr>
      <w:r>
        <w:rPr>
          <w:rFonts w:ascii="Calibri" w:hAnsi="Calibri"/>
          <w:b/>
          <w:i w:val="0"/>
          <w:color w:val="1F3A5F"/>
          <w:sz w:val="30"/>
        </w:rPr>
        <w:t>2.  The Investment Debate</w:t>
      </w:r>
    </w:p>
    <w:p>
      <w:pPr>
        <w:spacing w:before="0" w:after="80"/>
      </w:pPr>
      <w:r>
        <w:rPr>
          <w:rFonts w:ascii="Calibri" w:hAnsi="Calibri"/>
          <w:b w:val="0"/>
          <w:i w:val="0"/>
          <w:color w:val="333333"/>
          <w:sz w:val="21"/>
        </w:rPr>
        <w:t>The brief observes that PHM sits at &lt;5% of a NOK 15-25bn Norwegian property maintenance market and asks whether a credible second platform could be assembled behind them. The market arithmetic is correct. The platform arithmetic is not.</w:t>
      </w:r>
    </w:p>
    <w:p>
      <w:pPr>
        <w:spacing w:before="120" w:after="40"/>
      </w:pPr>
      <w:r>
        <w:rPr>
          <w:rFonts w:ascii="Calibri" w:hAnsi="Calibri"/>
          <w:b/>
          <w:i w:val="0"/>
          <w:color w:val="333333"/>
          <w:sz w:val="22"/>
        </w:rPr>
        <w:t>The good thesis would require one of these to be true</w:t>
      </w:r>
    </w:p>
    <w:tbl>
      <w:tblPr>
        <w:tblW w:type="auto" w:w="0"/>
        <w:tblLayout w:type="fixed"/>
        <w:tblLook w:firstColumn="1" w:firstRow="1" w:lastColumn="0" w:lastRow="0" w:noHBand="0" w:noVBand="1" w:val="04A0"/>
      </w:tblPr>
      <w:tblGrid>
        <w:gridCol w:w="3324"/>
        <w:gridCol w:w="3324"/>
        <w:gridCol w:w="3324"/>
      </w:tblGrid>
      <w:tr>
        <w:tc>
          <w:tcPr>
            <w:tcW w:type="dxa" w:w="2835"/>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Required belief</w:t>
            </w:r>
          </w:p>
        </w:tc>
        <w:tc>
          <w:tcPr>
            <w:tcW w:type="dxa" w:w="5386"/>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Our reading of the evidence</w:t>
            </w:r>
          </w:p>
        </w:tc>
        <w:tc>
          <w:tcPr>
            <w:tcW w:type="dxa" w:w="1417"/>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Verdict</w:t>
            </w:r>
          </w:p>
        </w:tc>
      </w:tr>
      <w:tr>
        <w:tc>
          <w:tcPr>
            <w:tcW w:type="dxa" w:w="2835"/>
            <w:tcBorders>
              <w:top w:val="single" w:sz="4" w:color="BFBFBF"/>
              <w:left w:val="single" w:sz="4" w:color="BFBFBF"/>
              <w:bottom w:val="single" w:sz="4" w:color="BFBFBF"/>
              <w:right w:val="single" w:sz="4" w:color="BFBFBF"/>
            </w:tcBorders>
            <w:vAlign w:val="center"/>
          </w:tcPr>
          <w:p>
            <w:r/>
            <w:r>
              <w:rPr>
                <w:rFonts w:ascii="Calibri" w:hAnsi="Calibri"/>
                <w:color w:val="333333"/>
                <w:sz w:val="19"/>
              </w:rPr>
              <w:t>PHM will leave meaningful white space (geography, customer, capability) on the table</w:t>
            </w:r>
          </w:p>
        </w:tc>
        <w:tc>
          <w:tcPr>
            <w:tcW w:type="dxa" w:w="5386"/>
            <w:tcBorders>
              <w:top w:val="single" w:sz="4" w:color="BFBFBF"/>
              <w:left w:val="single" w:sz="4" w:color="BFBFBF"/>
              <w:bottom w:val="single" w:sz="4" w:color="BFBFBF"/>
              <w:right w:val="single" w:sz="4" w:color="BFBFBF"/>
            </w:tcBorders>
            <w:vAlign w:val="center"/>
          </w:tcPr>
          <w:p>
            <w:r/>
            <w:r>
              <w:rPr>
                <w:rFonts w:ascii="Calibri" w:hAnsi="Calibri"/>
                <w:color w:val="333333"/>
                <w:sz w:val="19"/>
              </w:rPr>
              <w:t>PHM has acquired across all five Norwegian regions, has commercial customers (~30% mix), and can extend technical capability via the same bolt-on engine that built the platform. No structural barrier to PHM filling any gap we identify.</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Not demonstrated</w:t>
            </w:r>
          </w:p>
        </w:tc>
      </w:tr>
      <w:tr>
        <w:tc>
          <w:tcPr>
            <w:tcW w:type="dxa" w:w="283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KLAR has a unique capability or angle PHM cannot match</w:t>
            </w:r>
          </w:p>
        </w:tc>
        <w:tc>
          <w:tcPr>
            <w:tcW w:type="dxa" w:w="5386"/>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Nordic services experience is generic across mid-market sponsors. Nimlas adjacency is real but small (cross-referral economics ~30-50 bps EBITDA). Ocab is restoration / Sweden-only. None is a structural moat.</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Not demonstrated</w:t>
            </w:r>
          </w:p>
        </w:tc>
      </w:tr>
      <w:tr>
        <w:tc>
          <w:tcPr>
            <w:tcW w:type="dxa" w:w="2835"/>
            <w:tcBorders>
              <w:top w:val="single" w:sz="4" w:color="BFBFBF"/>
              <w:left w:val="single" w:sz="4" w:color="BFBFBF"/>
              <w:bottom w:val="single" w:sz="4" w:color="BFBFBF"/>
              <w:right w:val="single" w:sz="4" w:color="BFBFBF"/>
            </w:tcBorders>
            <w:vAlign w:val="center"/>
          </w:tcPr>
          <w:p>
            <w:r/>
            <w:r>
              <w:rPr>
                <w:rFonts w:ascii="Calibri" w:hAnsi="Calibri"/>
                <w:color w:val="333333"/>
                <w:sz w:val="19"/>
              </w:rPr>
              <w:t>Bolt-on supply substantially exceeds PHM's absorption capacity over our hold</w:t>
            </w:r>
          </w:p>
        </w:tc>
        <w:tc>
          <w:tcPr>
            <w:tcW w:type="dxa" w:w="5386"/>
            <w:tcBorders>
              <w:top w:val="single" w:sz="4" w:color="BFBFBF"/>
              <w:left w:val="single" w:sz="4" w:color="BFBFBF"/>
              <w:bottom w:val="single" w:sz="4" w:color="BFBFBF"/>
              <w:right w:val="single" w:sz="4" w:color="BFBFBF"/>
            </w:tcBorders>
            <w:vAlign w:val="center"/>
          </w:tcPr>
          <w:p>
            <w:r/>
            <w:r>
              <w:rPr>
                <w:rFonts w:ascii="Calibri" w:hAnsi="Calibri"/>
                <w:color w:val="333333"/>
                <w:sz w:val="19"/>
              </w:rPr>
              <w:t>PHM has closed ~50-60 Norwegian acquisitions over 7 years (5-8/year). At our needed pace (5-8/year), the two consolidators jointly absorb 10-16 deals/year. The Tier-1 named pipeline of 15-20 targets is exhausted in 18-24 months under contested supply.</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Not demonstrated</w:t>
            </w:r>
          </w:p>
        </w:tc>
      </w:tr>
    </w:tbl>
    <w:p>
      <w:pPr>
        <w:spacing w:after="40"/>
      </w:pPr>
    </w:p>
    <w:p>
      <w:pPr>
        <w:spacing w:before="0" w:after="80"/>
      </w:pPr>
      <w:r>
        <w:rPr>
          <w:rFonts w:ascii="Calibri" w:hAnsi="Calibri"/>
          <w:b w:val="0"/>
          <w:i w:val="0"/>
          <w:color w:val="333333"/>
          <w:sz w:val="21"/>
        </w:rPr>
        <w:t>When none of the three load-bearing beliefs survive scrutiny, the right answer is to test alternative constructions rather than press ahead on conviction we do not have.</w:t>
      </w:r>
    </w:p>
    <w:p>
      <w:pPr>
        <w:spacing w:before="280" w:after="80"/>
      </w:pPr>
      <w:r>
        <w:rPr>
          <w:rFonts w:ascii="Calibri" w:hAnsi="Calibri"/>
          <w:b/>
          <w:i w:val="0"/>
          <w:color w:val="1F3A5F"/>
          <w:sz w:val="30"/>
        </w:rPr>
        <w:t>3.  Why the Market Passes (the easy part)</w:t>
      </w:r>
    </w:p>
    <w:tbl>
      <w:tblPr>
        <w:tblW w:type="auto" w:w="0"/>
        <w:tblLayout w:type="fixed"/>
        <w:tblLook w:firstColumn="1" w:firstRow="1" w:lastColumn="0" w:lastRow="0" w:noHBand="0" w:noVBand="1" w:val="04A0"/>
      </w:tblPr>
      <w:tblGrid>
        <w:gridCol w:w="3324"/>
        <w:gridCol w:w="3324"/>
        <w:gridCol w:w="3324"/>
      </w:tblGrid>
      <w:tr>
        <w:tc>
          <w:tcPr>
            <w:tcW w:type="dxa" w:w="1984"/>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Test</w:t>
            </w:r>
          </w:p>
        </w:tc>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Read</w:t>
            </w:r>
          </w:p>
        </w:tc>
        <w:tc>
          <w:tcPr>
            <w:tcW w:type="dxa" w:w="5386"/>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Evidence</w:t>
            </w:r>
          </w:p>
        </w:tc>
      </w:tr>
      <w:tr>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Mission-critical</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Yes</w:t>
            </w:r>
          </w:p>
        </w:tc>
        <w:tc>
          <w:tcPr>
            <w:tcW w:type="dxa" w:w="5386"/>
            <w:tcBorders>
              <w:top w:val="single" w:sz="4" w:color="BFBFBF"/>
              <w:left w:val="single" w:sz="4" w:color="BFBFBF"/>
              <w:bottom w:val="single" w:sz="4" w:color="BFBFBF"/>
              <w:right w:val="single" w:sz="4" w:color="BFBFBF"/>
            </w:tcBorders>
            <w:vAlign w:val="center"/>
          </w:tcPr>
          <w:p>
            <w:r/>
            <w:r>
              <w:rPr>
                <w:rFonts w:ascii="Calibri" w:hAnsi="Calibri"/>
                <w:color w:val="333333"/>
                <w:sz w:val="19"/>
              </w:rPr>
              <w:t>Snow clearing and building safety inspections are legally mandated; cleaning frequency regulated</w:t>
            </w:r>
          </w:p>
        </w:tc>
      </w:tr>
      <w:tr>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Recurring revenue</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Yes (70-85%)</w:t>
            </w:r>
          </w:p>
        </w:tc>
        <w:tc>
          <w:tcPr>
            <w:tcW w:type="dxa" w:w="5386"/>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Multi-year framework agreements with housing co-ops, commercial property managers, public entities</w:t>
            </w:r>
          </w:p>
        </w:tc>
      </w:tr>
      <w:tr>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Fragmentation</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Yes (top 5 &lt;25% share)</w:t>
            </w:r>
          </w:p>
        </w:tc>
        <w:tc>
          <w:tcPr>
            <w:tcW w:type="dxa" w:w="5386"/>
            <w:tcBorders>
              <w:top w:val="single" w:sz="4" w:color="BFBFBF"/>
              <w:left w:val="single" w:sz="4" w:color="BFBFBF"/>
              <w:bottom w:val="single" w:sz="4" w:color="BFBFBF"/>
              <w:right w:val="single" w:sz="4" w:color="BFBFBF"/>
            </w:tcBorders>
            <w:vAlign w:val="center"/>
          </w:tcPr>
          <w:p>
            <w:r/>
            <w:r>
              <w:rPr>
                <w:rFonts w:ascii="Calibri" w:hAnsi="Calibri"/>
                <w:color w:val="333333"/>
                <w:sz w:val="19"/>
              </w:rPr>
              <w:t>~12,000 registered Norwegian cleaning / FM AS entities; PHM &lt;5% of the addressable TAM</w:t>
            </w:r>
          </w:p>
        </w:tc>
      </w:tr>
      <w:tr>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Capex intensity</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Low (&lt;2% rev)</w:t>
            </w:r>
          </w:p>
        </w:tc>
        <w:tc>
          <w:tcPr>
            <w:tcW w:type="dxa" w:w="5386"/>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Working capital and small fleet; nothing structural to fund</w:t>
            </w:r>
          </w:p>
        </w:tc>
      </w:tr>
      <w:tr>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Cash conversion</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75-90%</w:t>
            </w:r>
          </w:p>
        </w:tc>
        <w:tc>
          <w:tcPr>
            <w:tcW w:type="dxa" w:w="5386"/>
            <w:tcBorders>
              <w:top w:val="single" w:sz="4" w:color="BFBFBF"/>
              <w:left w:val="single" w:sz="4" w:color="BFBFBF"/>
              <w:bottom w:val="single" w:sz="4" w:color="BFBFBF"/>
              <w:right w:val="single" w:sz="4" w:color="BFBFBF"/>
            </w:tcBorders>
            <w:vAlign w:val="center"/>
          </w:tcPr>
          <w:p>
            <w:r/>
            <w:r>
              <w:rPr>
                <w:rFonts w:ascii="Calibri" w:hAnsi="Calibri"/>
                <w:color w:val="333333"/>
                <w:sz w:val="19"/>
              </w:rPr>
              <w:t>EBITDA-to-FCF after WC; consistent with PE-friendly labour services</w:t>
            </w:r>
          </w:p>
        </w:tc>
      </w:tr>
      <w:tr>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Regulatory shield</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Yes</w:t>
            </w:r>
          </w:p>
        </w:tc>
        <w:tc>
          <w:tcPr>
            <w:tcW w:type="dxa" w:w="5386"/>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Allmenngjøringsloven (extension of collective wage agreements) creates labour-cost floor that disadvantages informal sub-scale operators</w:t>
            </w:r>
          </w:p>
        </w:tc>
      </w:tr>
      <w:tr>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Cyclicality</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Low (operational); moderate (new contracts)</w:t>
            </w:r>
          </w:p>
        </w:tc>
        <w:tc>
          <w:tcPr>
            <w:tcW w:type="dxa" w:w="5386"/>
            <w:tcBorders>
              <w:top w:val="single" w:sz="4" w:color="BFBFBF"/>
              <w:left w:val="single" w:sz="4" w:color="BFBFBF"/>
              <w:bottom w:val="single" w:sz="4" w:color="BFBFBF"/>
              <w:right w:val="single" w:sz="4" w:color="BFBFBF"/>
            </w:tcBorders>
            <w:vAlign w:val="center"/>
          </w:tcPr>
          <w:p>
            <w:r/>
            <w:r>
              <w:rPr>
                <w:rFonts w:ascii="Calibri" w:hAnsi="Calibri"/>
                <w:color w:val="333333"/>
                <w:sz w:val="19"/>
              </w:rPr>
              <w:t>Volume insulated; new-contract origination exposed to construction cycle</w:t>
            </w:r>
          </w:p>
        </w:tc>
      </w:tr>
      <w:tr>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TAM and growth</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NOK 15-25bn Norway, NOK 55-80bn Nordic, 4-6% nominal</w:t>
            </w:r>
          </w:p>
        </w:tc>
        <w:tc>
          <w:tcPr>
            <w:tcW w:type="dxa" w:w="5386"/>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Brief baseline; bottom-up by sub-segment consistent</w:t>
            </w:r>
          </w:p>
        </w:tc>
      </w:tr>
    </w:tbl>
    <w:p>
      <w:pPr>
        <w:spacing w:after="40"/>
      </w:pPr>
    </w:p>
    <w:p>
      <w:pPr>
        <w:spacing w:before="0" w:after="80"/>
      </w:pPr>
      <w:r>
        <w:rPr>
          <w:rFonts w:ascii="Calibri" w:hAnsi="Calibri"/>
          <w:b w:val="0"/>
          <w:i w:val="0"/>
          <w:color w:val="333333"/>
          <w:sz w:val="21"/>
        </w:rPr>
        <w:t>This is precisely the kind of sector KLAR has historically targeted. The market is not the question. The competitive position is the question.</w:t>
      </w:r>
    </w:p>
    <w:p>
      <w:pPr>
        <w:spacing w:before="280" w:after="80"/>
      </w:pPr>
      <w:r>
        <w:rPr>
          <w:rFonts w:ascii="Calibri" w:hAnsi="Calibri"/>
          <w:b/>
          <w:i w:val="0"/>
          <w:color w:val="1F3A5F"/>
          <w:sz w:val="30"/>
        </w:rPr>
        <w:t>4.  Why the #2 Position is Harder Than the Brief Suggests</w:t>
      </w:r>
    </w:p>
    <w:p>
      <w:pPr>
        <w:spacing w:before="160" w:after="40"/>
      </w:pPr>
      <w:r>
        <w:rPr>
          <w:rFonts w:ascii="Calibri" w:hAnsi="Calibri"/>
          <w:b/>
          <w:i w:val="0"/>
          <w:color w:val="1F3A5F"/>
          <w:sz w:val="24"/>
        </w:rPr>
        <w:t>4.1  PHM's structural advantages compound, they don't decay</w:t>
      </w:r>
    </w:p>
    <w:tbl>
      <w:tblPr>
        <w:tblW w:type="auto" w:w="0"/>
        <w:tblLayout w:type="fixed"/>
        <w:tblLook w:firstColumn="1" w:firstRow="1" w:lastColumn="0" w:lastRow="0" w:noHBand="0" w:noVBand="1" w:val="04A0"/>
      </w:tblPr>
      <w:tblGrid>
        <w:gridCol w:w="4986"/>
        <w:gridCol w:w="4986"/>
      </w:tblGrid>
      <w:tr>
        <w:tc>
          <w:tcPr>
            <w:tcW w:type="dxa" w:w="311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Advantage</w:t>
            </w:r>
          </w:p>
        </w:tc>
        <w:tc>
          <w:tcPr>
            <w:tcW w:type="dxa" w:w="6520"/>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What it means in practice</w:t>
            </w:r>
          </w:p>
        </w:tc>
      </w:tr>
      <w:tr>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Integration playbook validated across ~100 deals</w:t>
            </w:r>
          </w:p>
        </w:tc>
        <w:tc>
          <w:tcPr>
            <w:tcW w:type="dxa" w:w="6520"/>
            <w:tcBorders>
              <w:top w:val="single" w:sz="4" w:color="BFBFBF"/>
              <w:left w:val="single" w:sz="4" w:color="BFBFBF"/>
              <w:bottom w:val="single" w:sz="4" w:color="BFBFBF"/>
              <w:right w:val="single" w:sz="4" w:color="BFBFBF"/>
            </w:tcBorders>
            <w:vAlign w:val="center"/>
          </w:tcPr>
          <w:p>
            <w:r/>
            <w:r>
              <w:rPr>
                <w:rFonts w:ascii="Calibri" w:hAnsi="Calibri"/>
                <w:color w:val="333333"/>
                <w:sz w:val="19"/>
              </w:rPr>
              <w:t>Sub-brand retention, standardised back-office migration, route consolidation - all proven. Our anchor would be on PMI deal #1.</w:t>
            </w:r>
          </w:p>
        </w:tc>
      </w:tr>
      <w:tr>
        <w:tc>
          <w:tcPr>
            <w:tcW w:type="dxa" w:w="311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First-call status with founder targets</w:t>
            </w:r>
          </w:p>
        </w:tc>
        <w:tc>
          <w:tcPr>
            <w:tcW w:type="dxa" w:w="652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Norwegian janitor founders contemplating exit know to call PHM. Inbound deal flow goes to PHM by default; we have to outbound and pay an attention premium.</w:t>
            </w:r>
          </w:p>
        </w:tc>
      </w:tr>
      <w:tr>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Local sub-brand retention preserves customer continuity</w:t>
            </w:r>
          </w:p>
        </w:tc>
        <w:tc>
          <w:tcPr>
            <w:tcW w:type="dxa" w:w="6520"/>
            <w:tcBorders>
              <w:top w:val="single" w:sz="4" w:color="BFBFBF"/>
              <w:left w:val="single" w:sz="4" w:color="BFBFBF"/>
              <w:bottom w:val="single" w:sz="4" w:color="BFBFBF"/>
              <w:right w:val="single" w:sz="4" w:color="BFBFBF"/>
            </w:tcBorders>
            <w:vAlign w:val="center"/>
          </w:tcPr>
          <w:p>
            <w:r/>
            <w:r>
              <w:rPr>
                <w:rFonts w:ascii="Calibri" w:hAnsi="Calibri"/>
                <w:color w:val="333333"/>
                <w:sz w:val="19"/>
              </w:rPr>
              <w:t>Customer attrition risk on bolt-on integration is materially lower at PHM than for a new platform learning the playbook.</w:t>
            </w:r>
          </w:p>
        </w:tc>
      </w:tr>
      <w:tr>
        <w:tc>
          <w:tcPr>
            <w:tcW w:type="dxa" w:w="311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Bolt-on pricing discipline at 4-6x EBITDA for sub-NOK 100m targets</w:t>
            </w:r>
          </w:p>
        </w:tc>
        <w:tc>
          <w:tcPr>
            <w:tcW w:type="dxa" w:w="652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Sustained over 7 years. Founders and their advisors now anchor on this range. A new entrant pushing above this range pays the inflation; a new entrant trying to hold the line loses deals to PHM.</w:t>
            </w:r>
          </w:p>
        </w:tc>
      </w:tr>
      <w:tr>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Norvestor relationship with Norwegian advisor and banker network</w:t>
            </w:r>
          </w:p>
        </w:tc>
        <w:tc>
          <w:tcPr>
            <w:tcW w:type="dxa" w:w="6520"/>
            <w:tcBorders>
              <w:top w:val="single" w:sz="4" w:color="BFBFBF"/>
              <w:left w:val="single" w:sz="4" w:color="BFBFBF"/>
              <w:bottom w:val="single" w:sz="4" w:color="BFBFBF"/>
              <w:right w:val="single" w:sz="4" w:color="BFBFBF"/>
            </w:tcBorders>
            <w:vAlign w:val="center"/>
          </w:tcPr>
          <w:p>
            <w:r/>
            <w:r>
              <w:rPr>
                <w:rFonts w:ascii="Calibri" w:hAnsi="Calibri"/>
                <w:color w:val="333333"/>
                <w:sz w:val="19"/>
              </w:rPr>
              <w:t>Process discipline, deal sourcing, and reference checks all flow through this network. A new entrant builds these from scratch.</w:t>
            </w:r>
          </w:p>
        </w:tc>
      </w:tr>
    </w:tbl>
    <w:p>
      <w:pPr>
        <w:spacing w:after="40"/>
      </w:pPr>
    </w:p>
    <w:p>
      <w:pPr>
        <w:spacing w:before="160" w:after="40"/>
      </w:pPr>
      <w:r>
        <w:rPr>
          <w:rFonts w:ascii="Calibri" w:hAnsi="Calibri"/>
          <w:b/>
          <w:i w:val="0"/>
          <w:color w:val="1F3A5F"/>
          <w:sz w:val="24"/>
        </w:rPr>
        <w:t>4.2  Norvestor VIII exit makes things worse, not better</w:t>
      </w:r>
    </w:p>
    <w:p>
      <w:pPr>
        <w:spacing w:before="0" w:after="80"/>
      </w:pPr>
      <w:r>
        <w:rPr>
          <w:rFonts w:ascii="Calibri" w:hAnsi="Calibri"/>
          <w:b w:val="0"/>
          <w:i w:val="0"/>
          <w:color w:val="333333"/>
          <w:sz w:val="21"/>
        </w:rPr>
        <w:t>The instinct that PHM's 2026-2027 exit creates an opening is wrong. The likely buyer is a larger sponsor (Triton, EQT, CVC, Cinven, Bain) with materially more bolt-on deployment capacity than Norvestor. Post-transition, PHM's M&amp;A pace accelerates because the new owner has more capital to deploy, a longer runway to next exit, and a sharper value-creation case to make. Our competitive position deteriorates over our hold period, not improves.</w:t>
      </w:r>
    </w:p>
    <w:p>
      <w:pPr>
        <w:spacing w:before="0" w:after="80"/>
      </w:pPr>
      <w:r>
        <w:rPr>
          <w:rFonts w:ascii="Calibri" w:hAnsi="Calibri"/>
          <w:b w:val="0"/>
          <w:i w:val="0"/>
          <w:color w:val="333333"/>
          <w:sz w:val="21"/>
        </w:rPr>
        <w:t>Historical reference: when Triton acquired Caverion in 2023, Caverion's M&amp;A pace did not slow; it sustained. When Norvestor sold Brilliant Group to Bain Capital in 2021 [hypothetical illustrative reference - to be replaced with KLAR's actual comp set in pre-IC version], the same dynamic held. The platform's consolidation tempo is more a function of sponsor capital than of vintage.</w:t>
      </w:r>
    </w:p>
    <w:p>
      <w:pPr>
        <w:spacing w:before="160" w:after="40"/>
      </w:pPr>
      <w:r>
        <w:rPr>
          <w:rFonts w:ascii="Calibri" w:hAnsi="Calibri"/>
          <w:b/>
          <w:i w:val="0"/>
          <w:color w:val="1F3A5F"/>
          <w:sz w:val="24"/>
        </w:rPr>
        <w:t>4.3  The 'white space' arguments do not survive stress-testing</w:t>
      </w:r>
    </w:p>
    <w:tbl>
      <w:tblPr>
        <w:tblW w:type="auto" w:w="0"/>
        <w:tblLayout w:type="fixed"/>
        <w:tblLook w:firstColumn="1" w:firstRow="1" w:lastColumn="0" w:lastRow="0" w:noHBand="0" w:noVBand="1" w:val="04A0"/>
      </w:tblPr>
      <w:tblGrid>
        <w:gridCol w:w="3324"/>
        <w:gridCol w:w="3324"/>
        <w:gridCol w:w="3324"/>
      </w:tblGrid>
      <w:tr>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Claimed white space</w:t>
            </w:r>
          </w:p>
        </w:tc>
        <w:tc>
          <w:tcPr>
            <w:tcW w:type="dxa" w:w="2835"/>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Why we initially liked it</w:t>
            </w:r>
          </w:p>
        </w:tc>
        <w:tc>
          <w:tcPr>
            <w:tcW w:type="dxa" w:w="4535"/>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Why it does not hold</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Commercial property (30-40% of TAM)</w:t>
            </w:r>
          </w:p>
        </w:tc>
        <w:tc>
          <w:tcPr>
            <w:tcW w:type="dxa" w:w="2835"/>
            <w:tcBorders>
              <w:top w:val="single" w:sz="4" w:color="BFBFBF"/>
              <w:left w:val="single" w:sz="4" w:color="BFBFBF"/>
              <w:bottom w:val="single" w:sz="4" w:color="BFBFBF"/>
              <w:right w:val="single" w:sz="4" w:color="BFBFBF"/>
            </w:tcBorders>
            <w:vAlign w:val="center"/>
          </w:tcPr>
          <w:p>
            <w:r/>
            <w:r>
              <w:rPr>
                <w:rFonts w:ascii="Calibri" w:hAnsi="Calibri"/>
                <w:color w:val="333333"/>
                <w:sz w:val="19"/>
              </w:rPr>
              <w:t>PHM is ~70% residential per public statements</w:t>
            </w:r>
          </w:p>
        </w:tc>
        <w:tc>
          <w:tcPr>
            <w:tcW w:type="dxa" w:w="4535"/>
            <w:tcBorders>
              <w:top w:val="single" w:sz="4" w:color="BFBFBF"/>
              <w:left w:val="single" w:sz="4" w:color="BFBFBF"/>
              <w:bottom w:val="single" w:sz="4" w:color="BFBFBF"/>
              <w:right w:val="single" w:sz="4" w:color="BFBFBF"/>
            </w:tcBorders>
            <w:vAlign w:val="center"/>
          </w:tcPr>
          <w:p>
            <w:r/>
            <w:r>
              <w:rPr>
                <w:rFonts w:ascii="Calibri" w:hAnsi="Calibri"/>
                <w:color w:val="333333"/>
                <w:sz w:val="19"/>
              </w:rPr>
              <w:t>PHM has commercial customers and the operational model is identical. No structural barrier; PHM can pivot mix with one or two targeted bolt-ons</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Mid-Norway / Vestland geography</w:t>
            </w:r>
          </w:p>
        </w:tc>
        <w:tc>
          <w:tcPr>
            <w:tcW w:type="dxa" w:w="283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PHM is Oslo / Akershus / Østfold concentrated</w:t>
            </w:r>
          </w:p>
        </w:tc>
        <w:tc>
          <w:tcPr>
            <w:tcW w:type="dxa" w:w="453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PHM has acquired in Bergen, Stavanger, Trondheim. Density gaps close with bolt-ons - faster for PHM than for us</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Sweden at scale</w:t>
            </w:r>
          </w:p>
        </w:tc>
        <w:tc>
          <w:tcPr>
            <w:tcW w:type="dxa" w:w="2835"/>
            <w:tcBorders>
              <w:top w:val="single" w:sz="4" w:color="BFBFBF"/>
              <w:left w:val="single" w:sz="4" w:color="BFBFBF"/>
              <w:bottom w:val="single" w:sz="4" w:color="BFBFBF"/>
              <w:right w:val="single" w:sz="4" w:color="BFBFBF"/>
            </w:tcBorders>
            <w:vAlign w:val="center"/>
          </w:tcPr>
          <w:p>
            <w:r/>
            <w:r>
              <w:rPr>
                <w:rFonts w:ascii="Calibri" w:hAnsi="Calibri"/>
                <w:color w:val="333333"/>
                <w:sz w:val="19"/>
              </w:rPr>
              <w:t>PHM's Swedish sub is sub-scale relative to Finland and Norway</w:t>
            </w:r>
          </w:p>
        </w:tc>
        <w:tc>
          <w:tcPr>
            <w:tcW w:type="dxa" w:w="4535"/>
            <w:tcBorders>
              <w:top w:val="single" w:sz="4" w:color="BFBFBF"/>
              <w:left w:val="single" w:sz="4" w:color="BFBFBF"/>
              <w:bottom w:val="single" w:sz="4" w:color="BFBFBF"/>
              <w:right w:val="single" w:sz="4" w:color="BFBFBF"/>
            </w:tcBorders>
            <w:vAlign w:val="center"/>
          </w:tcPr>
          <w:p>
            <w:r/>
            <w:r>
              <w:rPr>
                <w:rFonts w:ascii="Calibri" w:hAnsi="Calibri"/>
                <w:color w:val="333333"/>
                <w:sz w:val="19"/>
              </w:rPr>
              <w:t>Valid as a structural gap. But the answer is to build a Sweden-FIRST platform (Section 7B), not to start in Norway and extend to Sweden where we have no operational presence</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Technical service bundling</w:t>
            </w:r>
          </w:p>
        </w:tc>
        <w:tc>
          <w:tcPr>
            <w:tcW w:type="dxa" w:w="283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PHM does not have an integrated HVAC / electrical / plumbing service offering</w:t>
            </w:r>
          </w:p>
        </w:tc>
        <w:tc>
          <w:tcPr>
            <w:tcW w:type="dxa" w:w="453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PHM can acquire a technical bolt-on the same week we do. The bundling is not capability-constrained for PHM, it is choice-constrained, and a choice can be reversed</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ESG / formal-labour positioning</w:t>
            </w:r>
          </w:p>
        </w:tc>
        <w:tc>
          <w:tcPr>
            <w:tcW w:type="dxa" w:w="2835"/>
            <w:tcBorders>
              <w:top w:val="single" w:sz="4" w:color="BFBFBF"/>
              <w:left w:val="single" w:sz="4" w:color="BFBFBF"/>
              <w:bottom w:val="single" w:sz="4" w:color="BFBFBF"/>
              <w:right w:val="single" w:sz="4" w:color="BFBFBF"/>
            </w:tcBorders>
            <w:vAlign w:val="center"/>
          </w:tcPr>
          <w:p>
            <w:r/>
            <w:r>
              <w:rPr>
                <w:rFonts w:ascii="Calibri" w:hAnsi="Calibri"/>
                <w:color w:val="333333"/>
                <w:sz w:val="19"/>
              </w:rPr>
              <w:t>Allmenngjøring creates room for credentialed operators</w:t>
            </w:r>
          </w:p>
        </w:tc>
        <w:tc>
          <w:tcPr>
            <w:tcW w:type="dxa" w:w="4535"/>
            <w:tcBorders>
              <w:top w:val="single" w:sz="4" w:color="BFBFBF"/>
              <w:left w:val="single" w:sz="4" w:color="BFBFBF"/>
              <w:bottom w:val="single" w:sz="4" w:color="BFBFBF"/>
              <w:right w:val="single" w:sz="4" w:color="BFBFBF"/>
            </w:tcBorders>
            <w:vAlign w:val="center"/>
          </w:tcPr>
          <w:p>
            <w:r/>
            <w:r>
              <w:rPr>
                <w:rFonts w:ascii="Calibri" w:hAnsi="Calibri"/>
                <w:color w:val="333333"/>
                <w:sz w:val="19"/>
              </w:rPr>
              <w:t>PHM operates under the same regulatory framework with the same credentials. Not a moat</w:t>
            </w:r>
          </w:p>
        </w:tc>
      </w:tr>
    </w:tbl>
    <w:p>
      <w:pPr>
        <w:spacing w:after="40"/>
      </w:pPr>
    </w:p>
    <w:p>
      <w:pPr>
        <w:spacing w:before="160" w:after="40"/>
      </w:pPr>
      <w:r>
        <w:rPr>
          <w:rFonts w:ascii="Calibri" w:hAnsi="Calibri"/>
          <w:b/>
          <w:i w:val="0"/>
          <w:color w:val="1F3A5F"/>
          <w:sz w:val="24"/>
        </w:rPr>
        <w:t>4.4  Bolt-on supply is being absorbed faster than the headline TAM suggests</w:t>
      </w:r>
    </w:p>
    <w:p>
      <w:pPr>
        <w:spacing w:before="0" w:after="80"/>
      </w:pPr>
      <w:r>
        <w:rPr>
          <w:rFonts w:ascii="Calibri" w:hAnsi="Calibri"/>
          <w:b w:val="0"/>
          <w:i w:val="0"/>
          <w:color w:val="333333"/>
          <w:sz w:val="21"/>
        </w:rPr>
        <w:t>Stylised arithmetic: ~12,000 registered Norwegian cleaning / FM entities. Strip out micro-businesses (&lt;NOK 30m revenue, &lt;10 FTE - sub-scale to integrate), public sector captives, listed-parent subs, and entities already owned by PE or strategics. The remaining acquirable supply set in the NOK 30-400m revenue band is ~250-350 entities. Of those, the ones with genuine quality (multi-year contracts, low customer concentration, decent margins) are probably 80-120 names. PHM has acquired ~50-60 of them. The remaining quality supply is roughly 30-70 names.</w:t>
      </w:r>
    </w:p>
    <w:p>
      <w:pPr>
        <w:spacing w:before="0" w:after="80"/>
      </w:pPr>
      <w:r>
        <w:rPr>
          <w:rFonts w:ascii="Calibri" w:hAnsi="Calibri"/>
          <w:b w:val="0"/>
          <w:i w:val="0"/>
          <w:color w:val="333333"/>
          <w:sz w:val="21"/>
        </w:rPr>
        <w:t>Our five-year construction plan needs 25-40 of those. PHM at sustained pace takes another 35-55. The two consolidators combined will exhaust the quality supply. The losing party retreats to sub-NOK 30m targets where integration economics break down. We are not entering an abundant market; we are entering the late innings of a market PHM is already winning.</w:t>
      </w:r>
    </w:p>
    <w:p>
      <w:pPr>
        <w:spacing w:before="280" w:after="80"/>
      </w:pPr>
      <w:r>
        <w:rPr>
          <w:rFonts w:ascii="Calibri" w:hAnsi="Calibri"/>
          <w:b/>
          <w:i w:val="0"/>
          <w:color w:val="1F3A5F"/>
          <w:sz w:val="30"/>
        </w:rPr>
        <w:t>5.  The Roll-Up Math, Stress Tested</w:t>
      </w:r>
    </w:p>
    <w:p>
      <w:pPr>
        <w:spacing w:before="0" w:after="80"/>
      </w:pPr>
      <w:r>
        <w:rPr>
          <w:rFonts w:ascii="Calibri" w:hAnsi="Calibri"/>
          <w:b w:val="0"/>
          <w:i w:val="0"/>
          <w:color w:val="333333"/>
          <w:sz w:val="21"/>
        </w:rPr>
        <w:t>Three cases. The 'base' case in the prior draft was not realistic; it was aspirational. The realistic case is the load-bearing one for an IC decision.</w:t>
      </w:r>
    </w:p>
    <w:tbl>
      <w:tblPr>
        <w:tblW w:type="auto" w:w="0"/>
        <w:tblLayout w:type="fixed"/>
        <w:tblLook w:firstColumn="1" w:firstRow="1" w:lastColumn="0" w:lastRow="0" w:noHBand="0" w:noVBand="1" w:val="04A0"/>
      </w:tblPr>
      <w:tblGrid>
        <w:gridCol w:w="2493"/>
        <w:gridCol w:w="2493"/>
        <w:gridCol w:w="2493"/>
        <w:gridCol w:w="2493"/>
      </w:tblGrid>
      <w:tr>
        <w:tc>
          <w:tcPr>
            <w:tcW w:type="dxa" w:w="3685"/>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Parameter</w:t>
            </w:r>
          </w:p>
        </w:tc>
        <w:tc>
          <w:tcPr>
            <w:tcW w:type="dxa" w:w="1984"/>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Realistic case</w:t>
            </w:r>
          </w:p>
        </w:tc>
        <w:tc>
          <w:tcPr>
            <w:tcW w:type="dxa" w:w="1984"/>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Base / aspirational</w:t>
            </w:r>
          </w:p>
        </w:tc>
        <w:tc>
          <w:tcPr>
            <w:tcW w:type="dxa" w:w="1984"/>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Downside</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Anchor entry revenue (NOKm)</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300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300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300</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Anchor entry EBITDA margin</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8.5%</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8.5%</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8.5%</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Anchor entry EBITDA (NOKm)</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26</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26</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26</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Anchor entry multiple</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10.5x</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10.0x</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11.5x</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Anchor entry EV (NOKm)</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270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260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300</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Bolt-ons closed Y1-Y5 (#)</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18-22</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25-30</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10-12</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Acquired revenue Y1-Y5 (NOKm)</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1,300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1,800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650</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Blended bolt-on multiple</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7.0x</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6.0x</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7.5x</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Bolt-on EV deployed (NOKm)</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910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1,025</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490</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Y5 platform revenue (NOKm)</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1,800</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2,300</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1,150</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Y5 EBITDA margin</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10.5%</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11.5%</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9.5%</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Y5 EBITDA (NOKm)</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189</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265</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109</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Exit multiple</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10.5x</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11.5x</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9.5x</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Exit EV (NOKm)</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1,985</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3,050</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1,036</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Total invested equity (NOKm)</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880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1,000</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640</w:t>
            </w:r>
          </w:p>
        </w:tc>
      </w:tr>
      <w:tr>
        <w:tc>
          <w:tcPr>
            <w:tcW w:type="dxa" w:w="368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Gross MoM</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~2.0x</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~2.7x</w:t>
            </w:r>
          </w:p>
        </w:tc>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~1.3x</w:t>
            </w:r>
          </w:p>
        </w:tc>
      </w:tr>
      <w:tr>
        <w:tc>
          <w:tcPr>
            <w:tcW w:type="dxa" w:w="3685"/>
            <w:tcBorders>
              <w:top w:val="single" w:sz="4" w:color="BFBFBF"/>
              <w:left w:val="single" w:sz="4" w:color="BFBFBF"/>
              <w:bottom w:val="single" w:sz="4" w:color="BFBFBF"/>
              <w:right w:val="single" w:sz="4" w:color="BFBFBF"/>
            </w:tcBorders>
            <w:vAlign w:val="center"/>
          </w:tcPr>
          <w:p>
            <w:r/>
            <w:r>
              <w:rPr>
                <w:rFonts w:ascii="Calibri" w:hAnsi="Calibri"/>
                <w:color w:val="333333"/>
                <w:sz w:val="19"/>
              </w:rPr>
              <w:t>Gross IRR</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15-18%</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22-25%</w:t>
            </w:r>
          </w:p>
        </w:tc>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5-8%</w:t>
            </w:r>
          </w:p>
        </w:tc>
      </w:tr>
    </w:tbl>
    <w:p>
      <w:pPr>
        <w:spacing w:after="40"/>
      </w:pPr>
    </w:p>
    <w:tbl>
      <w:tblPr>
        <w:tblW w:type="auto" w:w="0"/>
        <w:tblLook w:firstColumn="1" w:firstRow="1" w:lastColumn="0" w:lastRow="0" w:noHBand="0" w:noVBand="1" w:val="04A0"/>
      </w:tblPr>
      <w:tblGrid>
        <w:gridCol w:w="9972"/>
      </w:tblGrid>
      <w:tr>
        <w:tc>
          <w:tcPr>
            <w:tcW w:type="dxa" w:w="9972"/>
            <w:shd w:val="clear" w:color="auto" w:fill="FCE8E8"/>
            <w:tcBorders>
              <w:top w:val="single" w:sz="4" w:color="BFBFBF"/>
              <w:left w:val="single" w:sz="4" w:color="BFBFBF"/>
              <w:bottom w:val="single" w:sz="4" w:color="BFBFBF"/>
              <w:right w:val="single" w:sz="4" w:color="BFBFBF"/>
            </w:tcBorders>
          </w:tcPr>
          <w:p>
            <w:r/>
            <w:r>
              <w:rPr>
                <w:rFonts w:ascii="Calibri" w:hAnsi="Calibri"/>
                <w:b/>
                <w:color w:val="B02A30"/>
                <w:sz w:val="21"/>
              </w:rPr>
              <w:t>The realistic case - not the downside - sits below KLAR's platform-slot hurdle of 20%+ gross IRR and 2.5x gross MoM. The 2.7x base case requires bolt-on multiples to stay at 6.0x, supply to deliver 25-30 targets, margin expansion of 300 bps, AND exit at 11.5x. Four simultaneous assumptions, each of which compresses if PHM's competitive intensity accelerates.</w:t>
            </w:r>
          </w:p>
        </w:tc>
      </w:tr>
    </w:tbl>
    <w:p>
      <w:pPr>
        <w:spacing w:after="0"/>
      </w:pPr>
    </w:p>
    <w:p>
      <w:pPr>
        <w:spacing w:before="120" w:after="40"/>
      </w:pPr>
      <w:r>
        <w:rPr>
          <w:rFonts w:ascii="Calibri" w:hAnsi="Calibri"/>
          <w:b/>
          <w:i w:val="0"/>
          <w:color w:val="333333"/>
          <w:sz w:val="22"/>
        </w:rPr>
        <w:t>Sensitivity reading</w:t>
      </w:r>
    </w:p>
    <w:p>
      <w:pPr>
        <w:pStyle w:val="ListBullet"/>
        <w:spacing w:after="40"/>
        <w:ind w:left="340"/>
      </w:pPr>
      <w:r>
        <w:rPr>
          <w:rFonts w:ascii="Calibri" w:hAnsi="Calibri"/>
          <w:color w:val="333333"/>
          <w:sz w:val="21"/>
        </w:rPr>
        <w:t>Each 1.0x of bolt-on multiple drift (6.0x -&gt; 7.0x) costs ~25 bps of IRR.</w:t>
      </w:r>
    </w:p>
    <w:p>
      <w:pPr>
        <w:pStyle w:val="ListBullet"/>
        <w:spacing w:after="40"/>
        <w:ind w:left="340"/>
      </w:pPr>
      <w:r>
        <w:rPr>
          <w:rFonts w:ascii="Calibri" w:hAnsi="Calibri"/>
          <w:color w:val="333333"/>
          <w:sz w:val="21"/>
        </w:rPr>
        <w:t>Each 100 bps of margin under-delivery (11.5% -&gt; 10.5%) costs ~30 bps of IRR.</w:t>
      </w:r>
    </w:p>
    <w:p>
      <w:pPr>
        <w:pStyle w:val="ListBullet"/>
        <w:spacing w:after="40"/>
        <w:ind w:left="340"/>
      </w:pPr>
      <w:r>
        <w:rPr>
          <w:rFonts w:ascii="Calibri" w:hAnsi="Calibri"/>
          <w:color w:val="333333"/>
          <w:sz w:val="21"/>
        </w:rPr>
        <w:t>Each 1.0x of exit multiple compression (11.5x -&gt; 10.5x) costs ~35 bps of IRR.</w:t>
      </w:r>
    </w:p>
    <w:p>
      <w:pPr>
        <w:pStyle w:val="ListBullet"/>
        <w:spacing w:after="40"/>
        <w:ind w:left="340"/>
      </w:pPr>
      <w:r>
        <w:rPr>
          <w:rFonts w:ascii="Calibri" w:hAnsi="Calibri"/>
          <w:color w:val="333333"/>
          <w:sz w:val="21"/>
        </w:rPr>
        <w:t>Each shortfall of 5 bolt-ons (25 -&gt; 20 closed) costs ~40 bps of IRR via lost EBITDA aggregation.</w:t>
      </w:r>
    </w:p>
    <w:p>
      <w:pPr>
        <w:pStyle w:val="ListBullet"/>
        <w:spacing w:after="40"/>
        <w:ind w:left="340"/>
      </w:pPr>
      <w:r>
        <w:rPr>
          <w:rFonts w:ascii="Calibri" w:hAnsi="Calibri"/>
          <w:color w:val="333333"/>
          <w:sz w:val="21"/>
        </w:rPr>
        <w:t>These are partially correlated, not independent. A market where PHM accelerates tends to compress bolt-on multiples, supply, AND exit multiple simultaneously.</w:t>
      </w:r>
    </w:p>
    <w:p>
      <w:pPr>
        <w:spacing w:before="280" w:after="80"/>
      </w:pPr>
      <w:r>
        <w:rPr>
          <w:rFonts w:ascii="Calibri" w:hAnsi="Calibri"/>
          <w:b/>
          <w:i w:val="0"/>
          <w:color w:val="1F3A5F"/>
          <w:sz w:val="30"/>
        </w:rPr>
        <w:t>6.  Why Us? Pressure-Testing the Right to Win</w:t>
      </w:r>
    </w:p>
    <w:tbl>
      <w:tblPr>
        <w:tblW w:type="auto" w:w="0"/>
        <w:tblLayout w:type="fixed"/>
        <w:tblLook w:firstColumn="1" w:firstRow="1" w:lastColumn="0" w:lastRow="0" w:noHBand="0" w:noVBand="1" w:val="04A0"/>
      </w:tblPr>
      <w:tblGrid>
        <w:gridCol w:w="3324"/>
        <w:gridCol w:w="3324"/>
        <w:gridCol w:w="3324"/>
      </w:tblGrid>
      <w:tr>
        <w:tc>
          <w:tcPr>
            <w:tcW w:type="dxa" w:w="255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Claimed advantage</w:t>
            </w:r>
          </w:p>
        </w:tc>
        <w:tc>
          <w:tcPr>
            <w:tcW w:type="dxa" w:w="311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What it actually buys us</w:t>
            </w:r>
          </w:p>
        </w:tc>
        <w:tc>
          <w:tcPr>
            <w:tcW w:type="dxa" w:w="3969"/>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Honest assessment</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Nordic services playbook (Nimlas, Ocab portfolio)</w:t>
            </w:r>
          </w:p>
        </w:tc>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Sector pattern recognition; access to a Nordic banker and advisor network; cross-portfolio recruiting</w:t>
            </w:r>
          </w:p>
        </w:tc>
        <w:tc>
          <w:tcPr>
            <w:tcW w:type="dxa" w:w="3969"/>
            <w:tcBorders>
              <w:top w:val="single" w:sz="4" w:color="BFBFBF"/>
              <w:left w:val="single" w:sz="4" w:color="BFBFBF"/>
              <w:bottom w:val="single" w:sz="4" w:color="BFBFBF"/>
              <w:right w:val="single" w:sz="4" w:color="BFBFBF"/>
            </w:tcBorders>
            <w:vAlign w:val="center"/>
          </w:tcPr>
          <w:p>
            <w:r/>
            <w:r>
              <w:rPr>
                <w:rFonts w:ascii="Calibri" w:hAnsi="Calibri"/>
                <w:color w:val="333333"/>
                <w:sz w:val="19"/>
              </w:rPr>
              <w:t>True but generic. Every Nordic mid-market sponsor (Adelis, FSN, Triton, Norvestor, IK, Verdane) claims the same advantage. Not a differentiator vs. PHM specifically</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Nimlas adjacency (technical service cross-sell)</w:t>
            </w:r>
          </w:p>
        </w:tc>
        <w:tc>
          <w:tcPr>
            <w:tcW w:type="dxa" w:w="311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Bundled-contract offering to housing managers and commercial property owners; cross-referral economics</w:t>
            </w:r>
          </w:p>
        </w:tc>
        <w:tc>
          <w:tcPr>
            <w:tcW w:type="dxa" w:w="3969"/>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Real but small: 30-50 bps EBITDA uplift, not a thesis driver. And if technical service bundling is the value driver, the right platform is Nimlas extended, not a new property maintenance roll-up</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Ocab adjacency (Swedish restoration)</w:t>
            </w:r>
          </w:p>
        </w:tc>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Swedish operational footprint, market intelligence, customer introductions</w:t>
            </w:r>
          </w:p>
        </w:tc>
        <w:tc>
          <w:tcPr>
            <w:tcW w:type="dxa" w:w="3969"/>
            <w:tcBorders>
              <w:top w:val="single" w:sz="4" w:color="BFBFBF"/>
              <w:left w:val="single" w:sz="4" w:color="BFBFBF"/>
              <w:bottom w:val="single" w:sz="4" w:color="BFBFBF"/>
              <w:right w:val="single" w:sz="4" w:color="BFBFBF"/>
            </w:tcBorders>
            <w:vAlign w:val="center"/>
          </w:tcPr>
          <w:p>
            <w:r/>
            <w:r>
              <w:rPr>
                <w:rFonts w:ascii="Calibri" w:hAnsi="Calibri"/>
                <w:color w:val="333333"/>
                <w:sz w:val="19"/>
              </w:rPr>
              <w:t>Helpful for a Sweden construction. Marginal for Norway-first. Ocab serves a different customer (insurance carriers, not property managers)</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KLAR operational toolkit (route density, procurement, M&amp;A integration)</w:t>
            </w:r>
          </w:p>
        </w:tc>
        <w:tc>
          <w:tcPr>
            <w:tcW w:type="dxa" w:w="311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Standard PE roll-up levers</w:t>
            </w:r>
          </w:p>
        </w:tc>
        <w:tc>
          <w:tcPr>
            <w:tcW w:type="dxa" w:w="3969"/>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Same toolkit PHM has applied for 7 years. Not a differentiator</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Capital scale and patience</w:t>
            </w:r>
          </w:p>
        </w:tc>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Funding the bolt-on program at pace</w:t>
            </w:r>
          </w:p>
        </w:tc>
        <w:tc>
          <w:tcPr>
            <w:tcW w:type="dxa" w:w="3969"/>
            <w:tcBorders>
              <w:top w:val="single" w:sz="4" w:color="BFBFBF"/>
              <w:left w:val="single" w:sz="4" w:color="BFBFBF"/>
              <w:bottom w:val="single" w:sz="4" w:color="BFBFBF"/>
              <w:right w:val="single" w:sz="4" w:color="BFBFBF"/>
            </w:tcBorders>
            <w:vAlign w:val="center"/>
          </w:tcPr>
          <w:p>
            <w:r/>
            <w:r>
              <w:rPr>
                <w:rFonts w:ascii="Calibri" w:hAnsi="Calibri"/>
                <w:color w:val="333333"/>
                <w:sz w:val="19"/>
              </w:rPr>
              <w:t>PHM's next owner will likely have more capital. We are at parity or below</w:t>
            </w:r>
          </w:p>
        </w:tc>
      </w:tr>
    </w:tbl>
    <w:p>
      <w:pPr>
        <w:spacing w:after="40"/>
      </w:pPr>
    </w:p>
    <w:p>
      <w:pPr>
        <w:spacing w:before="0" w:after="80"/>
      </w:pPr>
      <w:r>
        <w:rPr>
          <w:rFonts w:ascii="Calibri" w:hAnsi="Calibri"/>
          <w:b w:val="0"/>
          <w:i w:val="0"/>
          <w:color w:val="333333"/>
          <w:sz w:val="21"/>
        </w:rPr>
        <w:t>Net: the right-to-win narrative is thin. It is true but generic. The honest version is that KLAR is one of many credible Nordic sponsors who could build a property maintenance platform. We have no structural advantage over Norvestor's PHM in Norway, and our claimed adjacencies are either marginal (Nimlas, 30-50 bps) or geographically mis-aligned (Ocab is Sweden-only).</w:t>
      </w:r>
    </w:p>
    <w:p>
      <w:pPr>
        <w:spacing w:before="280" w:after="80"/>
      </w:pPr>
      <w:r>
        <w:rPr>
          <w:rFonts w:ascii="Calibri" w:hAnsi="Calibri"/>
          <w:b/>
          <w:i w:val="0"/>
          <w:color w:val="1F3A5F"/>
          <w:sz w:val="30"/>
        </w:rPr>
        <w:t>7.  Three Platform Constructions, Ranked</w:t>
      </w:r>
    </w:p>
    <w:p>
      <w:pPr>
        <w:spacing w:before="160" w:after="40"/>
      </w:pPr>
      <w:r>
        <w:rPr>
          <w:rFonts w:ascii="Calibri" w:hAnsi="Calibri"/>
          <w:b/>
          <w:i w:val="0"/>
          <w:color w:val="1F3A5F"/>
          <w:sz w:val="24"/>
        </w:rPr>
        <w:t>7.A  Norway-led #2 behind PHM (the thesis as framed)</w:t>
      </w:r>
    </w:p>
    <w:tbl>
      <w:tblPr>
        <w:tblW w:type="auto" w:w="0"/>
        <w:tblLayout w:type="fixed"/>
        <w:tblLook w:firstColumn="1" w:firstRow="1" w:lastColumn="0" w:lastRow="0" w:noHBand="0" w:noVBand="1" w:val="04A0"/>
      </w:tblPr>
      <w:tblGrid>
        <w:gridCol w:w="4986"/>
        <w:gridCol w:w="4986"/>
      </w:tblGrid>
      <w:tr>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Dimension</w:t>
            </w:r>
          </w:p>
        </w:tc>
        <w:tc>
          <w:tcPr>
            <w:tcW w:type="dxa" w:w="7370"/>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Assessment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Right to win</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Weak. No structural advantage over PHM</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Competitive intensity</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High; rising after PHM exit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Supply availability</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Contested; ~30-70 quality targets remaining, PHM acquiring the same</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Realistic returns</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~2.0x MoM, 15-18% gross IRR - below platform-slot hurdle</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Recommendation</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PASS</w:t>
            </w:r>
          </w:p>
        </w:tc>
      </w:tr>
    </w:tbl>
    <w:p>
      <w:pPr>
        <w:spacing w:after="40"/>
      </w:pPr>
    </w:p>
    <w:p>
      <w:pPr>
        <w:spacing w:before="160" w:after="40"/>
      </w:pPr>
      <w:r>
        <w:rPr>
          <w:rFonts w:ascii="Calibri" w:hAnsi="Calibri"/>
          <w:b/>
          <w:i w:val="0"/>
          <w:color w:val="1F3A5F"/>
          <w:sz w:val="24"/>
        </w:rPr>
        <w:t>7.B  Sweden-led fastighetsskötsel roll-up (the better thesis)</w:t>
      </w:r>
    </w:p>
    <w:p>
      <w:pPr>
        <w:spacing w:before="0" w:after="80"/>
      </w:pPr>
      <w:r>
        <w:rPr>
          <w:rFonts w:ascii="Calibri" w:hAnsi="Calibri"/>
          <w:b w:val="0"/>
          <w:i w:val="0"/>
          <w:color w:val="333333"/>
          <w:sz w:val="21"/>
        </w:rPr>
        <w:t>Sweden has the same structural attractiveness (fragmentation, recurring revenue, regulatory shield through MBL and Allmänna bestämmelser för fastighetsarbete) but the consolidation curve is six to eight years behind Norway. PHM's Swedish sub is sub-scale relative to Finland and Norway. The local landscape - Bredablick, Newsec / Stronghold property arm, Coor's property services, Adapteo-adjacent operators - is itself fragmented with no dominant consolidator.</w:t>
      </w:r>
    </w:p>
    <w:tbl>
      <w:tblPr>
        <w:tblW w:type="auto" w:w="0"/>
        <w:tblLayout w:type="fixed"/>
        <w:tblLook w:firstColumn="1" w:firstRow="1" w:lastColumn="0" w:lastRow="0" w:noHBand="0" w:noVBand="1" w:val="04A0"/>
      </w:tblPr>
      <w:tblGrid>
        <w:gridCol w:w="4986"/>
        <w:gridCol w:w="4986"/>
      </w:tblGrid>
      <w:tr>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Dimension</w:t>
            </w:r>
          </w:p>
        </w:tc>
        <w:tc>
          <w:tcPr>
            <w:tcW w:type="dxa" w:w="7370"/>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Assessment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Right to win</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Better. Ocab gives us Swedish operational footprint and customer / advisor intel that PHM lacks</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Competitive intensity</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Lower. PHM is sub-scale; local players are themselves smaller; sponsor interest in fastighetsskötsel specifically is modest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Supply availability</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Larger relative to absorption pace; consolidation curve six to eight years behind Norway</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Realistic returns</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Less data, but base case 2.5-3.0x MoM, 22-26% IRR is more credible than the Norway thesis</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Anchor candidates (preliminary)</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Bredablick, regional Swedish fastighetsskötsel mid-market (NOK 200-500m SEK revenue band); requires a dedicated 4-6 week scan to firm up</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Recommendation</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DEVELOP - run a Phase 1 Sweden scan over Q3-Q4 2026</w:t>
            </w:r>
          </w:p>
        </w:tc>
      </w:tr>
    </w:tbl>
    <w:p>
      <w:pPr>
        <w:spacing w:after="40"/>
      </w:pPr>
    </w:p>
    <w:p>
      <w:pPr>
        <w:spacing w:before="160" w:after="40"/>
      </w:pPr>
      <w:r>
        <w:rPr>
          <w:rFonts w:ascii="Calibri" w:hAnsi="Calibri"/>
          <w:b/>
          <w:i w:val="0"/>
          <w:color w:val="1F3A5F"/>
          <w:sz w:val="24"/>
        </w:rPr>
        <w:t>7.C  Technical FM consolidation, extending from Nimlas (the on-strategy thesis)</w:t>
      </w:r>
    </w:p>
    <w:p>
      <w:pPr>
        <w:spacing w:before="0" w:after="80"/>
      </w:pPr>
      <w:r>
        <w:rPr>
          <w:rFonts w:ascii="Calibri" w:hAnsi="Calibri"/>
          <w:b w:val="0"/>
          <w:i w:val="0"/>
          <w:color w:val="333333"/>
          <w:sz w:val="21"/>
        </w:rPr>
        <w:t>Nimlas is already KLAR's Nordic technical services platform. The natural extension is to broaden Nimlas with HVAC service, electrical service, and plumbing service bolt-ons - serving the same end customers (housing associations, commercial property owners, public sector) as a property maintenance roll-up but in a different operational lane where Caverion, Bravida, and Assemblin are present but the mid-market tail is fragmented.</w:t>
      </w:r>
    </w:p>
    <w:tbl>
      <w:tblPr>
        <w:tblW w:type="auto" w:w="0"/>
        <w:tblLayout w:type="fixed"/>
        <w:tblLook w:firstColumn="1" w:firstRow="1" w:lastColumn="0" w:lastRow="0" w:noHBand="0" w:noVBand="1" w:val="04A0"/>
      </w:tblPr>
      <w:tblGrid>
        <w:gridCol w:w="4986"/>
        <w:gridCol w:w="4986"/>
      </w:tblGrid>
      <w:tr>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Dimension</w:t>
            </w:r>
          </w:p>
        </w:tc>
        <w:tc>
          <w:tcPr>
            <w:tcW w:type="dxa" w:w="7370"/>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Assessment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Right to win</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Strongest. This is what KLAR's portfolio actually advantages us to do</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Competitive intensity</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Moderate. Caverion (Triton/Bain), Bravida (listed), Assemblin (Triton); mid-market tail uncontested</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Strategic fit</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Direct - the platform already exists in Nimlas; this is value creation, not new fund deployment</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Realistic returns</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Incremental to Nimlas case; supports Nimlas mid-life value creation rather than a new fund slot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Decision framing</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Not a standalone fund deployment but a strategic priority for the Nimlas management team and KLAR's Nimlas deal lead</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Recommendation</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ASSESS - take to Nimlas board for strategic review</w:t>
            </w:r>
          </w:p>
        </w:tc>
      </w:tr>
    </w:tbl>
    <w:p>
      <w:pPr>
        <w:spacing w:after="40"/>
      </w:pPr>
    </w:p>
    <w:p>
      <w:pPr>
        <w:spacing w:before="160" w:after="40"/>
      </w:pPr>
      <w:r>
        <w:rPr>
          <w:rFonts w:ascii="Calibri" w:hAnsi="Calibri"/>
          <w:b/>
          <w:i w:val="0"/>
          <w:color w:val="1F3A5F"/>
          <w:sz w:val="24"/>
        </w:rPr>
        <w:t>7.D  Ranking summary</w:t>
      </w:r>
    </w:p>
    <w:tbl>
      <w:tblPr>
        <w:tblW w:type="auto" w:w="0"/>
        <w:tblLayout w:type="fixed"/>
        <w:tblLook w:firstColumn="1" w:firstRow="1" w:lastColumn="0" w:lastRow="0" w:noHBand="0" w:noVBand="1" w:val="04A0"/>
      </w:tblPr>
      <w:tblGrid>
        <w:gridCol w:w="1994"/>
        <w:gridCol w:w="1994"/>
        <w:gridCol w:w="1994"/>
        <w:gridCol w:w="1994"/>
        <w:gridCol w:w="1994"/>
      </w:tblGrid>
      <w:tr>
        <w:tc>
          <w:tcPr>
            <w:tcW w:type="dxa" w:w="311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Construction</w:t>
            </w:r>
          </w:p>
        </w:tc>
        <w:tc>
          <w:tcPr>
            <w:tcW w:type="dxa" w:w="170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Right to win</w:t>
            </w:r>
          </w:p>
        </w:tc>
        <w:tc>
          <w:tcPr>
            <w:tcW w:type="dxa" w:w="170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Competitive intensity</w:t>
            </w:r>
          </w:p>
        </w:tc>
        <w:tc>
          <w:tcPr>
            <w:tcW w:type="dxa" w:w="1417"/>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Returns visibility</w:t>
            </w:r>
          </w:p>
        </w:tc>
        <w:tc>
          <w:tcPr>
            <w:tcW w:type="dxa" w:w="170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Verdict</w:t>
            </w:r>
          </w:p>
        </w:tc>
      </w:tr>
      <w:tr>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A. Norway #2 behind PHM (as framed)</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Weak</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High and rising</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~2.0x MoM realistic</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PASS</w:t>
            </w:r>
          </w:p>
        </w:tc>
      </w:tr>
      <w:tr>
        <w:tc>
          <w:tcPr>
            <w:tcW w:type="dxa" w:w="311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 Sweden-led fastighetsskötsel</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Better (Ocab adjacency)</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Lower</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2.5-3.0x MoM plausible</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DEVELOP</w:t>
            </w:r>
          </w:p>
        </w:tc>
      </w:tr>
      <w:tr>
        <w:tc>
          <w:tcPr>
            <w:tcW w:type="dxa" w:w="3118"/>
            <w:tcBorders>
              <w:top w:val="single" w:sz="4" w:color="BFBFBF"/>
              <w:left w:val="single" w:sz="4" w:color="BFBFBF"/>
              <w:bottom w:val="single" w:sz="4" w:color="BFBFBF"/>
              <w:right w:val="single" w:sz="4" w:color="BFBFBF"/>
            </w:tcBorders>
            <w:vAlign w:val="center"/>
          </w:tcPr>
          <w:p>
            <w:r/>
            <w:r>
              <w:rPr>
                <w:rFonts w:ascii="Calibri" w:hAnsi="Calibri"/>
                <w:color w:val="333333"/>
                <w:sz w:val="19"/>
              </w:rPr>
              <w:t>C. Nimlas technical FM extension</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Strongest</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Moderate</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Nimlas value creation</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ASSESS via Nimlas</w:t>
            </w:r>
          </w:p>
        </w:tc>
      </w:tr>
    </w:tbl>
    <w:p>
      <w:pPr>
        <w:spacing w:after="40"/>
      </w:pPr>
    </w:p>
    <w:p>
      <w:pPr>
        <w:spacing w:before="280" w:after="80"/>
      </w:pPr>
      <w:r>
        <w:rPr>
          <w:rFonts w:ascii="Calibri" w:hAnsi="Calibri"/>
          <w:b/>
          <w:i w:val="0"/>
          <w:color w:val="1F3A5F"/>
          <w:sz w:val="30"/>
        </w:rPr>
        <w:t>8.  If We Proceeded Anyway: Anchor and Pipeline Read</w:t>
      </w:r>
    </w:p>
    <w:p>
      <w:pPr>
        <w:spacing w:before="0" w:after="80"/>
      </w:pPr>
      <w:r>
        <w:rPr>
          <w:rFonts w:ascii="Calibri" w:hAnsi="Calibri"/>
          <w:b w:val="0"/>
          <w:i w:val="0"/>
          <w:color w:val="333333"/>
          <w:sz w:val="21"/>
        </w:rPr>
        <w:t>Included for completeness - if the screening committee disagrees with the recommendation in Section 1 and wants to proceed with Construction A, the starting point would be these three anchor candidates and the bolt-on universe below. None of this changes our view that Construction B and C are materially more attractive.</w:t>
      </w:r>
    </w:p>
    <w:p>
      <w:pPr>
        <w:spacing w:before="160" w:after="40"/>
      </w:pPr>
      <w:r>
        <w:rPr>
          <w:rFonts w:ascii="Calibri" w:hAnsi="Calibri"/>
          <w:b/>
          <w:i w:val="0"/>
          <w:color w:val="1F3A5F"/>
          <w:sz w:val="24"/>
        </w:rPr>
        <w:t>8.1  Anchor candidates</w:t>
      </w:r>
    </w:p>
    <w:tbl>
      <w:tblPr>
        <w:tblW w:type="auto" w:w="0"/>
        <w:tblLayout w:type="fixed"/>
        <w:tblLook w:firstColumn="1" w:firstRow="1" w:lastColumn="0" w:lastRow="0" w:noHBand="0" w:noVBand="1" w:val="04A0"/>
      </w:tblPr>
      <w:tblGrid>
        <w:gridCol w:w="1994"/>
        <w:gridCol w:w="1994"/>
        <w:gridCol w:w="1994"/>
        <w:gridCol w:w="1994"/>
        <w:gridCol w:w="1994"/>
      </w:tblGrid>
      <w:tr>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Anchor</w:t>
            </w:r>
          </w:p>
        </w:tc>
        <w:tc>
          <w:tcPr>
            <w:tcW w:type="dxa" w:w="1304"/>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Rev FY24E (NOKm)</w:t>
            </w:r>
          </w:p>
        </w:tc>
        <w:tc>
          <w:tcPr>
            <w:tcW w:type="dxa" w:w="1134"/>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Owner</w:t>
            </w:r>
          </w:p>
        </w:tc>
        <w:tc>
          <w:tcPr>
            <w:tcW w:type="dxa" w:w="2665"/>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Why it could anchor</w:t>
            </w:r>
          </w:p>
        </w:tc>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Why we hesitate</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Vaktmesterkompaniet AS (Oslo)</w:t>
            </w:r>
          </w:p>
        </w:tc>
        <w:tc>
          <w:tcPr>
            <w:tcW w:type="dxa" w:w="1304"/>
            <w:tcBorders>
              <w:top w:val="single" w:sz="4" w:color="BFBFBF"/>
              <w:left w:val="single" w:sz="4" w:color="BFBFBF"/>
              <w:bottom w:val="single" w:sz="4" w:color="BFBFBF"/>
              <w:right w:val="single" w:sz="4" w:color="BFBFBF"/>
            </w:tcBorders>
            <w:vAlign w:val="center"/>
          </w:tcPr>
          <w:p>
            <w:r/>
            <w:r>
              <w:rPr>
                <w:rFonts w:ascii="Calibri" w:hAnsi="Calibri"/>
                <w:color w:val="333333"/>
                <w:sz w:val="19"/>
              </w:rPr>
              <w:t>~1,000</w:t>
            </w:r>
          </w:p>
        </w:tc>
        <w:tc>
          <w:tcPr>
            <w:tcW w:type="dxa" w:w="1134"/>
            <w:tcBorders>
              <w:top w:val="single" w:sz="4" w:color="BFBFBF"/>
              <w:left w:val="single" w:sz="4" w:color="BFBFBF"/>
              <w:bottom w:val="single" w:sz="4" w:color="BFBFBF"/>
              <w:right w:val="single" w:sz="4" w:color="BFBFBF"/>
            </w:tcBorders>
            <w:vAlign w:val="center"/>
          </w:tcPr>
          <w:p>
            <w:r/>
            <w:r>
              <w:rPr>
                <w:rFonts w:ascii="Calibri" w:hAnsi="Calibri"/>
                <w:color w:val="333333"/>
                <w:sz w:val="19"/>
              </w:rPr>
              <w:t>Founder</w:t>
            </w:r>
          </w:p>
        </w:tc>
        <w:tc>
          <w:tcPr>
            <w:tcW w:type="dxa" w:w="2665"/>
            <w:tcBorders>
              <w:top w:val="single" w:sz="4" w:color="BFBFBF"/>
              <w:left w:val="single" w:sz="4" w:color="BFBFBF"/>
              <w:bottom w:val="single" w:sz="4" w:color="BFBFBF"/>
              <w:right w:val="single" w:sz="4" w:color="BFBFBF"/>
            </w:tcBorders>
            <w:vAlign w:val="center"/>
          </w:tcPr>
          <w:p>
            <w:r/>
            <w:r>
              <w:rPr>
                <w:rFonts w:ascii="Calibri" w:hAnsi="Calibri"/>
                <w:color w:val="333333"/>
                <w:sz w:val="19"/>
              </w:rPr>
              <w:t>Closest PHM analog; pure janitor; bolt-on track record (~10 deals)</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PHM presumed in dialogue; multi-bidder process; 9-11x entry</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Din Vaktmester AS (Trondheim)</w:t>
            </w:r>
          </w:p>
        </w:tc>
        <w:tc>
          <w:tcPr>
            <w:tcW w:type="dxa" w:w="130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250-350</w:t>
            </w:r>
          </w:p>
        </w:tc>
        <w:tc>
          <w:tcPr>
            <w:tcW w:type="dxa" w:w="113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Founder</w:t>
            </w:r>
          </w:p>
        </w:tc>
        <w:tc>
          <w:tcPr>
            <w:tcW w:type="dxa" w:w="2665"/>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Mid-Norway geographic complement; pure janitor culture; lowest competing-bidder intensity</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Sub-scale; integration capability of mgmt team unproven; long runway to platform scale</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Insider Group AS (Høvik)</w:t>
            </w:r>
          </w:p>
        </w:tc>
        <w:tc>
          <w:tcPr>
            <w:tcW w:type="dxa" w:w="1304"/>
            <w:tcBorders>
              <w:top w:val="single" w:sz="4" w:color="BFBFBF"/>
              <w:left w:val="single" w:sz="4" w:color="BFBFBF"/>
              <w:bottom w:val="single" w:sz="4" w:color="BFBFBF"/>
              <w:right w:val="single" w:sz="4" w:color="BFBFBF"/>
            </w:tcBorders>
            <w:vAlign w:val="center"/>
          </w:tcPr>
          <w:p>
            <w:r/>
            <w:r>
              <w:rPr>
                <w:rFonts w:ascii="Calibri" w:hAnsi="Calibri"/>
                <w:color w:val="333333"/>
                <w:sz w:val="19"/>
              </w:rPr>
              <w:t>1,000-1,100</w:t>
            </w:r>
          </w:p>
        </w:tc>
        <w:tc>
          <w:tcPr>
            <w:tcW w:type="dxa" w:w="1134"/>
            <w:tcBorders>
              <w:top w:val="single" w:sz="4" w:color="BFBFBF"/>
              <w:left w:val="single" w:sz="4" w:color="BFBFBF"/>
              <w:bottom w:val="single" w:sz="4" w:color="BFBFBF"/>
              <w:right w:val="single" w:sz="4" w:color="BFBFBF"/>
            </w:tcBorders>
            <w:vAlign w:val="center"/>
          </w:tcPr>
          <w:p>
            <w:r/>
            <w:r>
              <w:rPr>
                <w:rFonts w:ascii="Calibri" w:hAnsi="Calibri"/>
                <w:color w:val="333333"/>
                <w:sz w:val="19"/>
              </w:rPr>
              <w:t>Family</w:t>
            </w:r>
          </w:p>
        </w:tc>
        <w:tc>
          <w:tcPr>
            <w:tcW w:type="dxa" w:w="2665"/>
            <w:tcBorders>
              <w:top w:val="single" w:sz="4" w:color="BFBFBF"/>
              <w:left w:val="single" w:sz="4" w:color="BFBFBF"/>
              <w:bottom w:val="single" w:sz="4" w:color="BFBFBF"/>
              <w:right w:val="single" w:sz="4" w:color="BFBFBF"/>
            </w:tcBorders>
            <w:vAlign w:val="center"/>
          </w:tcPr>
          <w:p>
            <w:r/>
            <w:r>
              <w:rPr>
                <w:rFonts w:ascii="Calibri" w:hAnsi="Calibri"/>
                <w:color w:val="333333"/>
                <w:sz w:val="19"/>
              </w:rPr>
              <w:t>Mitie carve-out (2024) proves M&amp;A muscle</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Mix is &gt;50% cleaning, not pure property maintenance; centre of gravity wrong</w:t>
            </w:r>
          </w:p>
        </w:tc>
      </w:tr>
    </w:tbl>
    <w:p>
      <w:pPr>
        <w:spacing w:after="40"/>
      </w:pPr>
    </w:p>
    <w:p>
      <w:pPr>
        <w:spacing w:before="160" w:after="40"/>
      </w:pPr>
      <w:r>
        <w:rPr>
          <w:rFonts w:ascii="Calibri" w:hAnsi="Calibri"/>
          <w:b/>
          <w:i w:val="0"/>
          <w:color w:val="1F3A5F"/>
          <w:sz w:val="24"/>
        </w:rPr>
        <w:t>8.2  Tier-1 named bolt-ons (15)</w:t>
      </w:r>
    </w:p>
    <w:tbl>
      <w:tblPr>
        <w:tblW w:type="auto" w:w="0"/>
        <w:tblLayout w:type="fixed"/>
        <w:tblLook w:firstColumn="1" w:firstRow="1" w:lastColumn="0" w:lastRow="0" w:noHBand="0" w:noVBand="1" w:val="04A0"/>
      </w:tblPr>
      <w:tblGrid>
        <w:gridCol w:w="2493"/>
        <w:gridCol w:w="2493"/>
        <w:gridCol w:w="2493"/>
        <w:gridCol w:w="2493"/>
      </w:tblGrid>
      <w:tr>
        <w:tc>
          <w:tcPr>
            <w:tcW w:type="dxa" w:w="255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Target</w:t>
            </w:r>
          </w:p>
        </w:tc>
        <w:tc>
          <w:tcPr>
            <w:tcW w:type="dxa" w:w="170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HQ</w:t>
            </w:r>
          </w:p>
        </w:tc>
        <w:tc>
          <w:tcPr>
            <w:tcW w:type="dxa" w:w="1417"/>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Rev FY24E (NOKm)</w:t>
            </w:r>
          </w:p>
        </w:tc>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Owner type</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Bygårdsservice AS</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Oslo</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80-120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Aktiv Eiendomsdrift AS</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Roa</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60-100</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Eiendomspartner 1 AS</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Bergen</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150-220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Family</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Ability FM / Ability Gruppen</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Bergen</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250-400</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Family</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Toma Eiendomsdrift AS (carve-out)</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Oslo (Toma sub)</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200-300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Family (Tomagruppen)</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Facilitec AS (Insider sub)</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Lørenskog</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200-300</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Insider</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BBL Daglig Drift AS</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Oslo</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100-150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Co-op linked</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Conluo Facility Services AS</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Oslo</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150-250</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Hvass AS</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Oslo</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60-90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Bygård Vaktmesteren AS</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Oslo</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50-80</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RSV Gruppen AS</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Bergen</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60-100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Resolve AS</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Risør</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50-80</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Total Eiendomsservice AS</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Drammen</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50-90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Northroads AS</w:t>
            </w:r>
          </w:p>
        </w:tc>
        <w:tc>
          <w:tcPr>
            <w:tcW w:type="dxa" w:w="170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Mo i Rana</w:t>
            </w:r>
          </w:p>
        </w:tc>
        <w:tc>
          <w:tcPr>
            <w:tcW w:type="dxa" w:w="141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80-130</w:t>
            </w:r>
          </w:p>
        </w:tc>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Founder</w:t>
            </w:r>
          </w:p>
        </w:tc>
      </w:tr>
      <w:tr>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Allianse Service Partner</w:t>
            </w:r>
          </w:p>
        </w:tc>
        <w:tc>
          <w:tcPr>
            <w:tcW w:type="dxa" w:w="1701"/>
            <w:tcBorders>
              <w:top w:val="single" w:sz="4" w:color="BFBFBF"/>
              <w:left w:val="single" w:sz="4" w:color="BFBFBF"/>
              <w:bottom w:val="single" w:sz="4" w:color="BFBFBF"/>
              <w:right w:val="single" w:sz="4" w:color="BFBFBF"/>
            </w:tcBorders>
            <w:vAlign w:val="center"/>
          </w:tcPr>
          <w:p>
            <w:r/>
            <w:r>
              <w:rPr>
                <w:rFonts w:ascii="Calibri" w:hAnsi="Calibri"/>
                <w:color w:val="333333"/>
                <w:sz w:val="19"/>
              </w:rPr>
              <w:t>Oslo</w:t>
            </w:r>
          </w:p>
        </w:tc>
        <w:tc>
          <w:tcPr>
            <w:tcW w:type="dxa" w:w="1417"/>
            <w:tcBorders>
              <w:top w:val="single" w:sz="4" w:color="BFBFBF"/>
              <w:left w:val="single" w:sz="4" w:color="BFBFBF"/>
              <w:bottom w:val="single" w:sz="4" w:color="BFBFBF"/>
              <w:right w:val="single" w:sz="4" w:color="BFBFBF"/>
            </w:tcBorders>
            <w:vAlign w:val="center"/>
          </w:tcPr>
          <w:p>
            <w:r/>
            <w:r>
              <w:rPr>
                <w:rFonts w:ascii="Calibri" w:hAnsi="Calibri"/>
                <w:color w:val="333333"/>
                <w:sz w:val="19"/>
              </w:rPr>
              <w:t>100-160</w:t>
            </w:r>
          </w:p>
        </w:tc>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Franchise model</w:t>
            </w:r>
          </w:p>
        </w:tc>
      </w:tr>
    </w:tbl>
    <w:p>
      <w:pPr>
        <w:spacing w:after="40"/>
      </w:pPr>
    </w:p>
    <w:p>
      <w:pPr>
        <w:spacing w:before="0" w:after="80"/>
      </w:pPr>
      <w:r>
        <w:rPr>
          <w:rFonts w:ascii="Calibri" w:hAnsi="Calibri"/>
          <w:b w:val="0"/>
          <w:i w:val="0"/>
          <w:color w:val="333333"/>
          <w:sz w:val="21"/>
        </w:rPr>
        <w:t>Combined Tier-1 named revenue: NOK 1.6-2.6bn. Tier-2 tail (NOK 30-100m revenue, ~35-50 entities) adds another NOK 1.5-3.0bn aggregated. Headline supply looks ample - until PHM's parallel absorption is netted out.</w:t>
      </w:r>
    </w:p>
    <w:p>
      <w:pPr>
        <w:spacing w:before="280" w:after="80"/>
      </w:pPr>
      <w:r>
        <w:rPr>
          <w:rFonts w:ascii="Calibri" w:hAnsi="Calibri"/>
          <w:b/>
          <w:i w:val="0"/>
          <w:color w:val="1F3A5F"/>
          <w:sz w:val="30"/>
        </w:rPr>
        <w:t>9.  KLAR Frameworks - Honest Application</w:t>
      </w:r>
    </w:p>
    <w:p>
      <w:pPr>
        <w:spacing w:before="160" w:after="40"/>
      </w:pPr>
      <w:r>
        <w:rPr>
          <w:rFonts w:ascii="Calibri" w:hAnsi="Calibri"/>
          <w:b/>
          <w:i w:val="0"/>
          <w:color w:val="1F3A5F"/>
          <w:sz w:val="24"/>
        </w:rPr>
        <w:t>9.1  4KQ for Construction A (Norway #2)</w:t>
      </w:r>
    </w:p>
    <w:tbl>
      <w:tblPr>
        <w:tblW w:type="auto" w:w="0"/>
        <w:tblLayout w:type="fixed"/>
        <w:tblLook w:firstColumn="1" w:firstRow="1" w:lastColumn="0" w:lastRow="0" w:noHBand="0" w:noVBand="1" w:val="04A0"/>
      </w:tblPr>
      <w:tblGrid>
        <w:gridCol w:w="4986"/>
        <w:gridCol w:w="4986"/>
      </w:tblGrid>
      <w:tr>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Question</w:t>
            </w:r>
          </w:p>
        </w:tc>
        <w:tc>
          <w:tcPr>
            <w:tcW w:type="dxa" w:w="7370"/>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Honest verdict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Q1.  Why this market?</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Pass. Sector test clean.</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Q2.  Why this asset?</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Conditional but weak. Anchor access uncertain at disciplined multiple; supply contested.</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Q3.  Why now?</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Mixed. Founder handover wave is genuine; but PHM is mid-cycle in absorbing the supply, and exit transition makes the competitive picture worse not better.</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Q4.  Why KLAR?</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Weakest. Right to win is generic. Portfolio adjacencies are marginal or geographically mis-aligned for Construction A.</w:t>
            </w:r>
          </w:p>
        </w:tc>
      </w:tr>
    </w:tbl>
    <w:p>
      <w:pPr>
        <w:spacing w:after="40"/>
      </w:pPr>
    </w:p>
    <w:p>
      <w:pPr>
        <w:spacing w:before="0" w:after="80"/>
      </w:pPr>
      <w:r>
        <w:rPr>
          <w:rFonts w:ascii="Calibri" w:hAnsi="Calibri"/>
          <w:b w:val="0"/>
          <w:i w:val="0"/>
          <w:color w:val="333333"/>
          <w:sz w:val="21"/>
        </w:rPr>
        <w:t>Aggregate: 1.5 / 4 honestly applied. Not a thesis we should advance.</w:t>
      </w:r>
    </w:p>
    <w:p>
      <w:pPr>
        <w:spacing w:before="160" w:after="40"/>
      </w:pPr>
      <w:r>
        <w:rPr>
          <w:rFonts w:ascii="Calibri" w:hAnsi="Calibri"/>
          <w:b/>
          <w:i w:val="0"/>
          <w:color w:val="1F3A5F"/>
          <w:sz w:val="24"/>
        </w:rPr>
        <w:t>9.2  4KQ for Construction B (Sweden-led)</w:t>
      </w:r>
    </w:p>
    <w:tbl>
      <w:tblPr>
        <w:tblW w:type="auto" w:w="0"/>
        <w:tblLayout w:type="fixed"/>
        <w:tblLook w:firstColumn="1" w:firstRow="1" w:lastColumn="0" w:lastRow="0" w:noHBand="0" w:noVBand="1" w:val="04A0"/>
      </w:tblPr>
      <w:tblGrid>
        <w:gridCol w:w="4986"/>
        <w:gridCol w:w="4986"/>
      </w:tblGrid>
      <w:tr>
        <w:tc>
          <w:tcPr>
            <w:tcW w:type="dxa" w:w="2268"/>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Question</w:t>
            </w:r>
          </w:p>
        </w:tc>
        <w:tc>
          <w:tcPr>
            <w:tcW w:type="dxa" w:w="7370"/>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Honest verdict</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Q1.  Why this market?</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Pass. Same sector logic plus less consolidation curve.</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Q2.  Why this asset?</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To be tested in Phase 1 scan.</w:t>
            </w:r>
          </w:p>
        </w:tc>
      </w:tr>
      <w:tr>
        <w:tc>
          <w:tcPr>
            <w:tcW w:type="dxa" w:w="2268"/>
            <w:tcBorders>
              <w:top w:val="single" w:sz="4" w:color="BFBFBF"/>
              <w:left w:val="single" w:sz="4" w:color="BFBFBF"/>
              <w:bottom w:val="single" w:sz="4" w:color="BFBFBF"/>
              <w:right w:val="single" w:sz="4" w:color="BFBFBF"/>
            </w:tcBorders>
            <w:vAlign w:val="center"/>
          </w:tcPr>
          <w:p>
            <w:r/>
            <w:r>
              <w:rPr>
                <w:rFonts w:ascii="Calibri" w:hAnsi="Calibri"/>
                <w:color w:val="333333"/>
                <w:sz w:val="19"/>
              </w:rPr>
              <w:t>Q3.  Why now?</w:t>
            </w:r>
          </w:p>
        </w:tc>
        <w:tc>
          <w:tcPr>
            <w:tcW w:type="dxa" w:w="7370"/>
            <w:tcBorders>
              <w:top w:val="single" w:sz="4" w:color="BFBFBF"/>
              <w:left w:val="single" w:sz="4" w:color="BFBFBF"/>
              <w:bottom w:val="single" w:sz="4" w:color="BFBFBF"/>
              <w:right w:val="single" w:sz="4" w:color="BFBFBF"/>
            </w:tcBorders>
            <w:vAlign w:val="center"/>
          </w:tcPr>
          <w:p>
            <w:r/>
            <w:r>
              <w:rPr>
                <w:rFonts w:ascii="Calibri" w:hAnsi="Calibri"/>
                <w:color w:val="333333"/>
                <w:sz w:val="19"/>
              </w:rPr>
              <w:t>Pass. Sweden is six to eight years behind Norway; window before international consolidators arrive is open.</w:t>
            </w:r>
          </w:p>
        </w:tc>
      </w:tr>
      <w:tr>
        <w:tc>
          <w:tcPr>
            <w:tcW w:type="dxa" w:w="2268"/>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Q4.  Why KLAR?</w:t>
            </w:r>
          </w:p>
        </w:tc>
        <w:tc>
          <w:tcPr>
            <w:tcW w:type="dxa" w:w="7370"/>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Better. Ocab gives us operational footprint; Swedish-language and regulatory familiarity built in.</w:t>
            </w:r>
          </w:p>
        </w:tc>
      </w:tr>
    </w:tbl>
    <w:p>
      <w:pPr>
        <w:spacing w:after="40"/>
      </w:pPr>
    </w:p>
    <w:p>
      <w:pPr>
        <w:spacing w:before="0" w:after="80"/>
      </w:pPr>
      <w:r>
        <w:rPr>
          <w:rFonts w:ascii="Calibri" w:hAnsi="Calibri"/>
          <w:b w:val="0"/>
          <w:i w:val="0"/>
          <w:color w:val="333333"/>
          <w:sz w:val="21"/>
        </w:rPr>
        <w:t>Aggregate: 3-3.5 / 4 contingent on Phase 1 anchor work.</w:t>
      </w:r>
    </w:p>
    <w:p>
      <w:pPr>
        <w:spacing w:before="160" w:after="40"/>
      </w:pPr>
      <w:r>
        <w:rPr>
          <w:rFonts w:ascii="Calibri" w:hAnsi="Calibri"/>
          <w:b/>
          <w:i w:val="0"/>
          <w:color w:val="1F3A5F"/>
          <w:sz w:val="24"/>
        </w:rPr>
        <w:t>9.3  Triple A</w:t>
      </w:r>
    </w:p>
    <w:tbl>
      <w:tblPr>
        <w:tblW w:type="auto" w:w="0"/>
        <w:tblLayout w:type="fixed"/>
        <w:tblLook w:firstColumn="1" w:firstRow="1" w:lastColumn="0" w:lastRow="0" w:noHBand="0" w:noVBand="1" w:val="04A0"/>
      </w:tblPr>
      <w:tblGrid>
        <w:gridCol w:w="2493"/>
        <w:gridCol w:w="2493"/>
        <w:gridCol w:w="2493"/>
        <w:gridCol w:w="2493"/>
      </w:tblGrid>
      <w:tr>
        <w:tc>
          <w:tcPr>
            <w:tcW w:type="dxa" w:w="1984"/>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Dimension</w:t>
            </w:r>
          </w:p>
        </w:tc>
        <w:tc>
          <w:tcPr>
            <w:tcW w:type="dxa" w:w="255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Construction A (Norway)</w:t>
            </w:r>
          </w:p>
        </w:tc>
        <w:tc>
          <w:tcPr>
            <w:tcW w:type="dxa" w:w="255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Construction B (Sweden)</w:t>
            </w:r>
          </w:p>
        </w:tc>
        <w:tc>
          <w:tcPr>
            <w:tcW w:type="dxa" w:w="2551"/>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Construction C (Nimlas extension)</w:t>
            </w:r>
          </w:p>
        </w:tc>
      </w:tr>
      <w:tr>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Attractive market</w:t>
            </w:r>
          </w:p>
        </w:tc>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A</w:t>
            </w:r>
          </w:p>
        </w:tc>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A</w:t>
            </w:r>
          </w:p>
        </w:tc>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A-</w:t>
            </w:r>
          </w:p>
        </w:tc>
      </w:tr>
      <w:tr>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Attractive business</w:t>
            </w:r>
          </w:p>
        </w:tc>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w:t>
            </w:r>
          </w:p>
        </w:tc>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w:t>
            </w:r>
          </w:p>
        </w:tc>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 (via Nimlas)</w:t>
            </w:r>
          </w:p>
        </w:tc>
      </w:tr>
      <w:tr>
        <w:tc>
          <w:tcPr>
            <w:tcW w:type="dxa" w:w="1984"/>
            <w:tcBorders>
              <w:top w:val="single" w:sz="4" w:color="BFBFBF"/>
              <w:left w:val="single" w:sz="4" w:color="BFBFBF"/>
              <w:bottom w:val="single" w:sz="4" w:color="BFBFBF"/>
              <w:right w:val="single" w:sz="4" w:color="BFBFBF"/>
            </w:tcBorders>
            <w:vAlign w:val="center"/>
          </w:tcPr>
          <w:p>
            <w:r/>
            <w:r>
              <w:rPr>
                <w:rFonts w:ascii="Calibri" w:hAnsi="Calibri"/>
                <w:color w:val="333333"/>
                <w:sz w:val="19"/>
              </w:rPr>
              <w:t>Attractive entry / exit</w:t>
            </w:r>
          </w:p>
        </w:tc>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B (likely contested entry; thin sponsor exit)</w:t>
            </w:r>
          </w:p>
        </w:tc>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A- (less contested)</w:t>
            </w:r>
          </w:p>
        </w:tc>
        <w:tc>
          <w:tcPr>
            <w:tcW w:type="dxa" w:w="2551"/>
            <w:tcBorders>
              <w:top w:val="single" w:sz="4" w:color="BFBFBF"/>
              <w:left w:val="single" w:sz="4" w:color="BFBFBF"/>
              <w:bottom w:val="single" w:sz="4" w:color="BFBFBF"/>
              <w:right w:val="single" w:sz="4" w:color="BFBFBF"/>
            </w:tcBorders>
            <w:vAlign w:val="center"/>
          </w:tcPr>
          <w:p>
            <w:r/>
            <w:r>
              <w:rPr>
                <w:rFonts w:ascii="Calibri" w:hAnsi="Calibri"/>
                <w:color w:val="333333"/>
                <w:sz w:val="19"/>
              </w:rPr>
              <w:t>A- (Nimlas value creation, not entry-multiple-driven)</w:t>
            </w:r>
          </w:p>
        </w:tc>
      </w:tr>
      <w:tr>
        <w:tc>
          <w:tcPr>
            <w:tcW w:type="dxa" w:w="1984"/>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Composite</w:t>
            </w:r>
          </w:p>
        </w:tc>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w:t>
            </w:r>
          </w:p>
        </w:tc>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w:t>
            </w:r>
          </w:p>
        </w:tc>
        <w:tc>
          <w:tcPr>
            <w:tcW w:type="dxa" w:w="2551"/>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A-</w:t>
            </w:r>
          </w:p>
        </w:tc>
      </w:tr>
    </w:tbl>
    <w:p>
      <w:pPr>
        <w:spacing w:after="40"/>
      </w:pPr>
    </w:p>
    <w:p>
      <w:pPr>
        <w:spacing w:before="160" w:after="40"/>
      </w:pPr>
      <w:r>
        <w:rPr>
          <w:rFonts w:ascii="Calibri" w:hAnsi="Calibri"/>
          <w:b/>
          <w:i w:val="0"/>
          <w:color w:val="1F3A5F"/>
          <w:sz w:val="24"/>
        </w:rPr>
        <w:t>9.4  Key Characteristics Assessment - what changes vs. prior draft</w:t>
      </w:r>
    </w:p>
    <w:p>
      <w:pPr>
        <w:spacing w:before="0" w:after="80"/>
      </w:pPr>
      <w:r>
        <w:rPr>
          <w:rFonts w:ascii="Calibri" w:hAnsi="Calibri"/>
          <w:b w:val="0"/>
          <w:i w:val="0"/>
          <w:color w:val="333333"/>
          <w:sz w:val="21"/>
        </w:rPr>
        <w:t>Composite KCA score is unchanged from the prior draft (3.9 / 5) because the characteristic-level reads are sector-level, not construction-level. The characteristic that matters most for ranking the three constructions is 'defensible competitive position', which scores 3/5 for Construction A (no advantage vs. PHM), 4/5 for Construction B (Ocab footprint), and 4/5 for Construction C (Nimlas platform).</w:t>
      </w:r>
    </w:p>
    <w:p>
      <w:pPr>
        <w:spacing w:before="280" w:after="80"/>
      </w:pPr>
      <w:r>
        <w:rPr>
          <w:rFonts w:ascii="Calibri" w:hAnsi="Calibri"/>
          <w:b/>
          <w:i w:val="0"/>
          <w:color w:val="1F3A5F"/>
          <w:sz w:val="30"/>
        </w:rPr>
        <w:t>10.  What We'd Need to Believe for Construction A to Work</w:t>
      </w:r>
    </w:p>
    <w:p>
      <w:pPr>
        <w:spacing w:before="0" w:after="80"/>
      </w:pPr>
      <w:r>
        <w:rPr>
          <w:rFonts w:ascii="Calibri" w:hAnsi="Calibri"/>
          <w:b w:val="0"/>
          <w:i w:val="0"/>
          <w:color w:val="333333"/>
          <w:sz w:val="21"/>
        </w:rPr>
        <w:t>Stated explicitly so that future evidence can either confirm or kill the thesis. All four would need to be true at IC.</w:t>
      </w:r>
    </w:p>
    <w:tbl>
      <w:tblPr>
        <w:tblW w:type="auto" w:w="0"/>
        <w:tblLayout w:type="fixed"/>
        <w:tblLook w:firstColumn="1" w:firstRow="1" w:lastColumn="0" w:lastRow="0" w:noHBand="0" w:noVBand="1" w:val="04A0"/>
      </w:tblPr>
      <w:tblGrid>
        <w:gridCol w:w="3324"/>
        <w:gridCol w:w="3324"/>
        <w:gridCol w:w="3324"/>
      </w:tblGrid>
      <w:tr>
        <w:tc>
          <w:tcPr>
            <w:tcW w:type="dxa" w:w="567"/>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w:t>
            </w:r>
          </w:p>
        </w:tc>
        <w:tc>
          <w:tcPr>
            <w:tcW w:type="dxa" w:w="3969"/>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Required belief</w:t>
            </w:r>
          </w:p>
        </w:tc>
        <w:tc>
          <w:tcPr>
            <w:tcW w:type="dxa" w:w="5102"/>
            <w:shd w:val="clear" w:color="auto" w:fill="1F3A5F"/>
            <w:tcBorders>
              <w:top w:val="single" w:sz="4" w:color="BFBFBF"/>
              <w:left w:val="single" w:sz="4" w:color="BFBFBF"/>
              <w:bottom w:val="single" w:sz="4" w:color="BFBFBF"/>
              <w:right w:val="single" w:sz="4" w:color="BFBFBF"/>
            </w:tcBorders>
            <w:vAlign w:val="center"/>
          </w:tcPr>
          <w:p>
            <w:r/>
            <w:r>
              <w:rPr>
                <w:rFonts w:ascii="Calibri" w:hAnsi="Calibri"/>
                <w:b/>
                <w:color w:val="FFFFFF"/>
                <w:sz w:val="19"/>
              </w:rPr>
              <w:t>Test</w:t>
            </w:r>
          </w:p>
        </w:tc>
      </w:tr>
      <w:tr>
        <w:tc>
          <w:tcPr>
            <w:tcW w:type="dxa" w:w="567"/>
            <w:tcBorders>
              <w:top w:val="single" w:sz="4" w:color="BFBFBF"/>
              <w:left w:val="single" w:sz="4" w:color="BFBFBF"/>
              <w:bottom w:val="single" w:sz="4" w:color="BFBFBF"/>
              <w:right w:val="single" w:sz="4" w:color="BFBFBF"/>
            </w:tcBorders>
            <w:vAlign w:val="center"/>
          </w:tcPr>
          <w:p>
            <w:r/>
            <w:r>
              <w:rPr>
                <w:rFonts w:ascii="Calibri" w:hAnsi="Calibri"/>
                <w:color w:val="333333"/>
                <w:sz w:val="19"/>
              </w:rPr>
              <w:t>1</w:t>
            </w:r>
          </w:p>
        </w:tc>
        <w:tc>
          <w:tcPr>
            <w:tcW w:type="dxa" w:w="3969"/>
            <w:tcBorders>
              <w:top w:val="single" w:sz="4" w:color="BFBFBF"/>
              <w:left w:val="single" w:sz="4" w:color="BFBFBF"/>
              <w:bottom w:val="single" w:sz="4" w:color="BFBFBF"/>
              <w:right w:val="single" w:sz="4" w:color="BFBFBF"/>
            </w:tcBorders>
            <w:vAlign w:val="center"/>
          </w:tcPr>
          <w:p>
            <w:r/>
            <w:r>
              <w:rPr>
                <w:rFonts w:ascii="Calibri" w:hAnsi="Calibri"/>
                <w:color w:val="333333"/>
                <w:sz w:val="19"/>
              </w:rPr>
              <w:t>PHM's M&amp;A pace materially decelerates over our hold (post-Norvestor transition)</w:t>
            </w:r>
          </w:p>
        </w:tc>
        <w:tc>
          <w:tcPr>
            <w:tcW w:type="dxa" w:w="5102"/>
            <w:tcBorders>
              <w:top w:val="single" w:sz="4" w:color="BFBFBF"/>
              <w:left w:val="single" w:sz="4" w:color="BFBFBF"/>
              <w:bottom w:val="single" w:sz="4" w:color="BFBFBF"/>
              <w:right w:val="single" w:sz="4" w:color="BFBFBF"/>
            </w:tcBorders>
            <w:vAlign w:val="center"/>
          </w:tcPr>
          <w:p>
            <w:r/>
            <w:r>
              <w:rPr>
                <w:rFonts w:ascii="Calibri" w:hAnsi="Calibri"/>
                <w:color w:val="333333"/>
                <w:sz w:val="19"/>
              </w:rPr>
              <w:t>Monitor: Norvestor exit prep timing; new owner identity and capital base; PHM Y1-Y2 deal cadence</w:t>
            </w:r>
          </w:p>
        </w:tc>
      </w:tr>
      <w:tr>
        <w:tc>
          <w:tcPr>
            <w:tcW w:type="dxa" w:w="56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2</w:t>
            </w:r>
          </w:p>
        </w:tc>
        <w:tc>
          <w:tcPr>
            <w:tcW w:type="dxa" w:w="3969"/>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Bolt-on multiples hold at 5-6x for sub-NOK 100m targets despite contested supply</w:t>
            </w:r>
          </w:p>
        </w:tc>
        <w:tc>
          <w:tcPr>
            <w:tcW w:type="dxa" w:w="5102"/>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Monitor: completed bolt-on transactions Q3 2026 - Q2 2027 (PHM and other acquirers); banker intel on auction dynamics</w:t>
            </w:r>
          </w:p>
        </w:tc>
      </w:tr>
      <w:tr>
        <w:tc>
          <w:tcPr>
            <w:tcW w:type="dxa" w:w="567"/>
            <w:tcBorders>
              <w:top w:val="single" w:sz="4" w:color="BFBFBF"/>
              <w:left w:val="single" w:sz="4" w:color="BFBFBF"/>
              <w:bottom w:val="single" w:sz="4" w:color="BFBFBF"/>
              <w:right w:val="single" w:sz="4" w:color="BFBFBF"/>
            </w:tcBorders>
            <w:vAlign w:val="center"/>
          </w:tcPr>
          <w:p>
            <w:r/>
            <w:r>
              <w:rPr>
                <w:rFonts w:ascii="Calibri" w:hAnsi="Calibri"/>
                <w:color w:val="333333"/>
                <w:sz w:val="19"/>
              </w:rPr>
              <w:t>3</w:t>
            </w:r>
          </w:p>
        </w:tc>
        <w:tc>
          <w:tcPr>
            <w:tcW w:type="dxa" w:w="3969"/>
            <w:tcBorders>
              <w:top w:val="single" w:sz="4" w:color="BFBFBF"/>
              <w:left w:val="single" w:sz="4" w:color="BFBFBF"/>
              <w:bottom w:val="single" w:sz="4" w:color="BFBFBF"/>
              <w:right w:val="single" w:sz="4" w:color="BFBFBF"/>
            </w:tcBorders>
            <w:vAlign w:val="center"/>
          </w:tcPr>
          <w:p>
            <w:r/>
            <w:r>
              <w:rPr>
                <w:rFonts w:ascii="Calibri" w:hAnsi="Calibri"/>
                <w:color w:val="333333"/>
                <w:sz w:val="19"/>
              </w:rPr>
              <w:t>We land an anchor at &lt;8.5x where management has credible bolt-on integration capability</w:t>
            </w:r>
          </w:p>
        </w:tc>
        <w:tc>
          <w:tcPr>
            <w:tcW w:type="dxa" w:w="5102"/>
            <w:tcBorders>
              <w:top w:val="single" w:sz="4" w:color="BFBFBF"/>
              <w:left w:val="single" w:sz="4" w:color="BFBFBF"/>
              <w:bottom w:val="single" w:sz="4" w:color="BFBFBF"/>
              <w:right w:val="single" w:sz="4" w:color="BFBFBF"/>
            </w:tcBorders>
            <w:vAlign w:val="center"/>
          </w:tcPr>
          <w:p>
            <w:r/>
            <w:r>
              <w:rPr>
                <w:rFonts w:ascii="Calibri" w:hAnsi="Calibri"/>
                <w:color w:val="333333"/>
                <w:sz w:val="19"/>
              </w:rPr>
              <w:t>Phase 2 origination Q3-Q4 2026 on three named candidates</w:t>
            </w:r>
          </w:p>
        </w:tc>
      </w:tr>
      <w:tr>
        <w:tc>
          <w:tcPr>
            <w:tcW w:type="dxa" w:w="567"/>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4</w:t>
            </w:r>
          </w:p>
        </w:tc>
        <w:tc>
          <w:tcPr>
            <w:tcW w:type="dxa" w:w="3969"/>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Margin expansion of 250-300 bps is achievable despite the structural ceiling on labour services</w:t>
            </w:r>
          </w:p>
        </w:tc>
        <w:tc>
          <w:tcPr>
            <w:tcW w:type="dxa" w:w="5102"/>
            <w:tcBorders>
              <w:top w:val="single" w:sz="4" w:color="BFBFBF"/>
              <w:left w:val="single" w:sz="4" w:color="BFBFBF"/>
              <w:bottom w:val="single" w:sz="4" w:color="BFBFBF"/>
              <w:right w:val="single" w:sz="4" w:color="BFBFBF"/>
            </w:tcBorders>
            <w:vAlign w:val="center"/>
            <w:shd w:val="clear" w:color="auto" w:fill="F2F4F7"/>
          </w:tcPr>
          <w:p>
            <w:r/>
            <w:r>
              <w:rPr>
                <w:rFonts w:ascii="Calibri" w:hAnsi="Calibri"/>
                <w:color w:val="333333"/>
                <w:sz w:val="19"/>
              </w:rPr>
              <w:t>Operational due diligence with anchor management; reference checks on density and procurement levers</w:t>
            </w:r>
          </w:p>
        </w:tc>
      </w:tr>
    </w:tbl>
    <w:p>
      <w:pPr>
        <w:spacing w:after="40"/>
      </w:pPr>
    </w:p>
    <w:tbl>
      <w:tblPr>
        <w:tblW w:type="auto" w:w="0"/>
        <w:tblLook w:firstColumn="1" w:firstRow="1" w:lastColumn="0" w:lastRow="0" w:noHBand="0" w:noVBand="1" w:val="04A0"/>
      </w:tblPr>
      <w:tblGrid>
        <w:gridCol w:w="9972"/>
      </w:tblGrid>
      <w:tr>
        <w:tc>
          <w:tcPr>
            <w:tcW w:type="dxa" w:w="9972"/>
            <w:shd w:val="clear" w:color="auto" w:fill="FFF5E6"/>
            <w:tcBorders>
              <w:top w:val="single" w:sz="4" w:color="BFBFBF"/>
              <w:left w:val="single" w:sz="4" w:color="BFBFBF"/>
              <w:bottom w:val="single" w:sz="4" w:color="BFBFBF"/>
              <w:right w:val="single" w:sz="4" w:color="BFBFBF"/>
            </w:tcBorders>
          </w:tcPr>
          <w:p>
            <w:r/>
            <w:r>
              <w:rPr>
                <w:rFonts w:ascii="Calibri" w:hAnsi="Calibri"/>
                <w:b/>
                <w:color w:val="1F3A5F"/>
                <w:sz w:val="21"/>
              </w:rPr>
              <w:t>On current evidence, beliefs (1) and (2) point against the thesis. Beliefs (3) and (4) are testable but contingent. We should not advance to IC until all four are validated, and we should be honest with ourselves that beliefs (1) and (2) are unlikely to validate given the structural setup.</w:t>
            </w:r>
          </w:p>
        </w:tc>
      </w:tr>
    </w:tbl>
    <w:p>
      <w:pPr>
        <w:spacing w:after="0"/>
      </w:pPr>
    </w:p>
    <w:p>
      <w:pPr>
        <w:spacing w:before="280" w:after="80"/>
      </w:pPr>
      <w:r>
        <w:rPr>
          <w:rFonts w:ascii="Calibri" w:hAnsi="Calibri"/>
          <w:b/>
          <w:i w:val="0"/>
          <w:color w:val="1F3A5F"/>
          <w:sz w:val="30"/>
        </w:rPr>
        <w:t>11.  Recommended Path</w:t>
      </w:r>
    </w:p>
    <w:p>
      <w:pPr>
        <w:spacing w:before="160" w:after="40"/>
      </w:pPr>
      <w:r>
        <w:rPr>
          <w:rFonts w:ascii="Calibri" w:hAnsi="Calibri"/>
          <w:b/>
          <w:i w:val="0"/>
          <w:color w:val="1F3A5F"/>
          <w:sz w:val="24"/>
        </w:rPr>
        <w:t>11.1  This memo's asks</w:t>
      </w:r>
    </w:p>
    <w:p>
      <w:pPr>
        <w:pStyle w:val="ListBullet"/>
        <w:spacing w:after="40"/>
        <w:ind w:left="340"/>
      </w:pPr>
      <w:r>
        <w:rPr>
          <w:rFonts w:ascii="Calibri" w:hAnsi="Calibri"/>
          <w:color w:val="333333"/>
          <w:sz w:val="21"/>
        </w:rPr>
        <w:t>Screening committee endorsement to PASS on Construction A (Norway #2 behind PHM) as the primary platform thesis.</w:t>
      </w:r>
    </w:p>
    <w:p>
      <w:pPr>
        <w:pStyle w:val="ListBullet"/>
        <w:spacing w:after="40"/>
        <w:ind w:left="340"/>
      </w:pPr>
      <w:r>
        <w:rPr>
          <w:rFonts w:ascii="Calibri" w:hAnsi="Calibri"/>
          <w:color w:val="333333"/>
          <w:sz w:val="21"/>
        </w:rPr>
        <w:t>Approval to initiate Phase 1 Sweden scan (Construction B) over Q3-Q4 2026. Estimated external spend NOK 0.5-1.0m; one full-time origination resource for ~12 weeks.</w:t>
      </w:r>
    </w:p>
    <w:p>
      <w:pPr>
        <w:pStyle w:val="ListBullet"/>
        <w:spacing w:after="40"/>
        <w:ind w:left="340"/>
      </w:pPr>
      <w:r>
        <w:rPr>
          <w:rFonts w:ascii="Calibri" w:hAnsi="Calibri"/>
          <w:color w:val="333333"/>
          <w:sz w:val="21"/>
        </w:rPr>
        <w:t>Initiation of strategic review with Nimlas management on Construction C (technical FM extension). Internal resource only; no external spend in Phase 1.</w:t>
      </w:r>
    </w:p>
    <w:p>
      <w:pPr>
        <w:pStyle w:val="ListBullet"/>
        <w:spacing w:after="40"/>
        <w:ind w:left="340"/>
      </w:pPr>
      <w:r>
        <w:rPr>
          <w:rFonts w:ascii="Calibri" w:hAnsi="Calibri"/>
          <w:color w:val="333333"/>
          <w:sz w:val="21"/>
        </w:rPr>
        <w:t>Continued opportunistic origination on the three named Norwegian anchor candidates - they remain useful for competitive intelligence on PHM, for cross-portfolio bolt-on introductions to Nimlas, and as potential anchors should Construction B or C surface a hybrid Sweden + Norway opportunity.</w:t>
      </w:r>
    </w:p>
    <w:p>
      <w:pPr>
        <w:spacing w:before="160" w:after="40"/>
      </w:pPr>
      <w:r>
        <w:rPr>
          <w:rFonts w:ascii="Calibri" w:hAnsi="Calibri"/>
          <w:b/>
          <w:i w:val="0"/>
          <w:color w:val="1F3A5F"/>
          <w:sz w:val="24"/>
        </w:rPr>
        <w:t>11.2  What we should NOT do</w:t>
      </w:r>
    </w:p>
    <w:p>
      <w:pPr>
        <w:pStyle w:val="ListBullet"/>
        <w:spacing w:after="40"/>
        <w:ind w:left="340"/>
      </w:pPr>
      <w:r>
        <w:rPr>
          <w:rFonts w:ascii="Calibri" w:hAnsi="Calibri"/>
          <w:color w:val="333333"/>
          <w:sz w:val="21"/>
        </w:rPr>
        <w:t>Commit a fund slot to Construction A pending one or two anchor meetings that go well.</w:t>
      </w:r>
    </w:p>
    <w:p>
      <w:pPr>
        <w:pStyle w:val="ListBullet"/>
        <w:spacing w:after="40"/>
        <w:ind w:left="340"/>
      </w:pPr>
      <w:r>
        <w:rPr>
          <w:rFonts w:ascii="Calibri" w:hAnsi="Calibri"/>
          <w:color w:val="333333"/>
          <w:sz w:val="21"/>
        </w:rPr>
        <w:t>Build a Norway-first roll-up and rationalise it post-hoc with Sweden expansion in Y3-Y4. If Sweden is the answer, Sweden should be the anchor.</w:t>
      </w:r>
    </w:p>
    <w:p>
      <w:pPr>
        <w:pStyle w:val="ListBullet"/>
        <w:spacing w:after="40"/>
        <w:ind w:left="340"/>
      </w:pPr>
      <w:r>
        <w:rPr>
          <w:rFonts w:ascii="Calibri" w:hAnsi="Calibri"/>
          <w:color w:val="333333"/>
          <w:sz w:val="21"/>
        </w:rPr>
        <w:t>Pursue all three constructions in parallel. KLAR's origination bandwidth is finite; Construction B is the priority new-platform thesis, Construction C is a Nimlas value-creation workstream, Construction A is on the watch list only.</w:t>
      </w:r>
    </w:p>
    <w:p>
      <w:pPr>
        <w:spacing w:before="160" w:after="40"/>
      </w:pPr>
      <w:r>
        <w:rPr>
          <w:rFonts w:ascii="Calibri" w:hAnsi="Calibri"/>
          <w:b/>
          <w:i w:val="0"/>
          <w:color w:val="1F3A5F"/>
          <w:sz w:val="24"/>
        </w:rPr>
        <w:t>11.3  Re-screen trigger</w:t>
      </w:r>
    </w:p>
    <w:p>
      <w:pPr>
        <w:pStyle w:val="ListBullet"/>
        <w:spacing w:after="40"/>
        <w:ind w:left="340"/>
      </w:pPr>
      <w:r>
        <w:rPr>
          <w:rFonts w:ascii="Calibri" w:hAnsi="Calibri"/>
          <w:color w:val="333333"/>
          <w:sz w:val="21"/>
        </w:rPr>
        <w:t>Re-screen Construction A if and only if: PHM's M&amp;A cadence falls below 3 deals/year in Norway for two consecutive years (signal that supply is no longer being absorbed), OR a named anchor candidate becomes available at &lt;7.5x in a non-competitive process (rare; would represent a step-change in deal access).</w:t>
      </w:r>
    </w:p>
    <w:p>
      <w:pPr>
        <w:spacing w:before="280" w:after="80"/>
      </w:pPr>
      <w:r>
        <w:rPr>
          <w:rFonts w:ascii="Calibri" w:hAnsi="Calibri"/>
          <w:b/>
          <w:i w:val="0"/>
          <w:color w:val="1F3A5F"/>
          <w:sz w:val="30"/>
        </w:rPr>
        <w:t>Appendix A - Sources and Limitations</w:t>
      </w:r>
    </w:p>
    <w:p>
      <w:pPr>
        <w:pStyle w:val="ListBullet"/>
        <w:spacing w:after="40"/>
        <w:ind w:left="340"/>
      </w:pPr>
      <w:r>
        <w:rPr>
          <w:rFonts w:ascii="Calibri" w:hAnsi="Calibri"/>
          <w:color w:val="333333"/>
          <w:sz w:val="21"/>
        </w:rPr>
        <w:t>Screening universe: 75 verified Norwegian property service / FM / cleaning entities, compiled from BoldData FY23 top-50 ranking, PE press releases, Konkurransetilsynet filings, PHM Annual Report 2024, and Proff.no / Brønnøysundregistrene. Full screen in companion file Norway_FM_Property_Services_PE_Screen.xlsx.</w:t>
      </w:r>
    </w:p>
    <w:p>
      <w:pPr>
        <w:pStyle w:val="ListBullet"/>
        <w:spacing w:after="40"/>
        <w:ind w:left="340"/>
      </w:pPr>
      <w:r>
        <w:rPr>
          <w:rFonts w:ascii="Calibri" w:hAnsi="Calibri"/>
          <w:color w:val="333333"/>
          <w:sz w:val="21"/>
        </w:rPr>
        <w:t>PHM Group revenue (EUR 600-800m) inferred from Norvestor commentary and Norwegian subsidiary filings. PHM does not publicly disclose Norwegian segment results.</w:t>
      </w:r>
    </w:p>
    <w:p>
      <w:pPr>
        <w:pStyle w:val="ListBullet"/>
        <w:spacing w:after="40"/>
        <w:ind w:left="340"/>
      </w:pPr>
      <w:r>
        <w:rPr>
          <w:rFonts w:ascii="Calibri" w:hAnsi="Calibri"/>
          <w:color w:val="333333"/>
          <w:sz w:val="21"/>
        </w:rPr>
        <w:t>Bolt-on multiple ranges (4-6x for sub-NOK 100m, 6-8x for sub-NOK 200m) inferred from PHM acquisition press releases and Nordic FM transaction comps 2021-2024; require transaction-by-transaction validation before IC.</w:t>
      </w:r>
    </w:p>
    <w:p>
      <w:pPr>
        <w:pStyle w:val="ListBullet"/>
        <w:spacing w:after="40"/>
        <w:ind w:left="340"/>
      </w:pPr>
      <w:r>
        <w:rPr>
          <w:rFonts w:ascii="Calibri" w:hAnsi="Calibri"/>
          <w:color w:val="333333"/>
          <w:sz w:val="21"/>
        </w:rPr>
        <w:t>TAM estimates triangulated against the brief's NOK 15-25bn Norway baseline; not externally validated. Sweden TAM estimate is order-of-magnitude only and a Phase 1 scan output, not an input.</w:t>
      </w:r>
    </w:p>
    <w:p>
      <w:pPr>
        <w:pStyle w:val="ListBullet"/>
        <w:spacing w:after="40"/>
        <w:ind w:left="340"/>
      </w:pPr>
      <w:r>
        <w:rPr>
          <w:rFonts w:ascii="Calibri" w:hAnsi="Calibri"/>
          <w:color w:val="333333"/>
          <w:sz w:val="21"/>
        </w:rPr>
        <w:t>Returns model is illustrative. Three cases (realistic, base, downside) are internally consistent at the EBITDA and revenue level but should not be over-read; real model requires anchor-specific assumptions.</w:t>
      </w:r>
    </w:p>
    <w:p>
      <w:pPr>
        <w:pStyle w:val="ListBullet"/>
        <w:spacing w:after="40"/>
        <w:ind w:left="340"/>
      </w:pPr>
      <w:r>
        <w:rPr>
          <w:rFonts w:ascii="Calibri" w:hAnsi="Calibri"/>
          <w:color w:val="333333"/>
          <w:sz w:val="21"/>
        </w:rPr>
        <w:t>KLAR framework applications (4KQ, Triple A, KCA) reflect the deal team's interpretation pending partner review.</w:t>
      </w:r>
    </w:p>
    <w:p>
      <w:pPr>
        <w:spacing w:before="280" w:after="80"/>
      </w:pPr>
      <w:r>
        <w:rPr>
          <w:rFonts w:ascii="Calibri" w:hAnsi="Calibri"/>
          <w:b/>
          <w:i w:val="0"/>
          <w:color w:val="1F3A5F"/>
          <w:sz w:val="30"/>
        </w:rPr>
        <w:t>Appendix B - Glossary</w:t>
      </w:r>
    </w:p>
    <w:p>
      <w:pPr>
        <w:pStyle w:val="ListBullet"/>
        <w:spacing w:after="40"/>
        <w:ind w:left="340"/>
      </w:pPr>
      <w:r>
        <w:rPr>
          <w:rFonts w:ascii="Calibri" w:hAnsi="Calibri"/>
          <w:color w:val="333333"/>
          <w:sz w:val="21"/>
        </w:rPr>
        <w:t>Vaktmester - janitor / building caretaker.</w:t>
      </w:r>
    </w:p>
    <w:p>
      <w:pPr>
        <w:pStyle w:val="ListBullet"/>
        <w:spacing w:after="40"/>
        <w:ind w:left="340"/>
      </w:pPr>
      <w:r>
        <w:rPr>
          <w:rFonts w:ascii="Calibri" w:hAnsi="Calibri"/>
          <w:color w:val="333333"/>
          <w:sz w:val="21"/>
        </w:rPr>
        <w:t>Eiendomsdrift - property operations.</w:t>
      </w:r>
    </w:p>
    <w:p>
      <w:pPr>
        <w:pStyle w:val="ListBullet"/>
        <w:spacing w:after="40"/>
        <w:ind w:left="340"/>
      </w:pPr>
      <w:r>
        <w:rPr>
          <w:rFonts w:ascii="Calibri" w:hAnsi="Calibri"/>
          <w:color w:val="333333"/>
          <w:sz w:val="21"/>
        </w:rPr>
        <w:t>Fastighetsskötsel - (Swedish) property care / janitorial.</w:t>
      </w:r>
    </w:p>
    <w:p>
      <w:pPr>
        <w:pStyle w:val="ListBullet"/>
        <w:spacing w:after="40"/>
        <w:ind w:left="340"/>
      </w:pPr>
      <w:r>
        <w:rPr>
          <w:rFonts w:ascii="Calibri" w:hAnsi="Calibri"/>
          <w:color w:val="333333"/>
          <w:sz w:val="21"/>
        </w:rPr>
        <w:t>Borettslag - housing cooperative; dominant residential ownership form in Norway.</w:t>
      </w:r>
    </w:p>
    <w:p>
      <w:pPr>
        <w:pStyle w:val="ListBullet"/>
        <w:spacing w:after="40"/>
        <w:ind w:left="340"/>
      </w:pPr>
      <w:r>
        <w:rPr>
          <w:rFonts w:ascii="Calibri" w:hAnsi="Calibri"/>
          <w:color w:val="333333"/>
          <w:sz w:val="21"/>
        </w:rPr>
        <w:t>Sameie - condominium-style co-ownership.</w:t>
      </w:r>
    </w:p>
    <w:p>
      <w:pPr>
        <w:pStyle w:val="ListBullet"/>
        <w:spacing w:after="40"/>
        <w:ind w:left="340"/>
      </w:pPr>
      <w:r>
        <w:rPr>
          <w:rFonts w:ascii="Calibri" w:hAnsi="Calibri"/>
          <w:color w:val="333333"/>
          <w:sz w:val="21"/>
        </w:rPr>
        <w:t>Allmenngjøring(sloven) - law extending collective wage agreement application; creates the labour-cost floor that disadvantages informal operators.</w:t>
      </w:r>
    </w:p>
    <w:p>
      <w:pPr>
        <w:pStyle w:val="ListBullet"/>
        <w:spacing w:after="40"/>
        <w:ind w:left="340"/>
      </w:pPr>
      <w:r>
        <w:rPr>
          <w:rFonts w:ascii="Calibri" w:hAnsi="Calibri"/>
          <w:color w:val="333333"/>
          <w:sz w:val="21"/>
        </w:rPr>
        <w:t>Renholdsoverenskomsten - collective wage agreement for cleaning services.</w:t>
      </w:r>
    </w:p>
    <w:p>
      <w:pPr>
        <w:pStyle w:val="ListBullet"/>
        <w:spacing w:after="40"/>
        <w:ind w:left="340"/>
      </w:pPr>
      <w:r>
        <w:rPr>
          <w:rFonts w:ascii="Calibri" w:hAnsi="Calibri"/>
          <w:color w:val="333333"/>
          <w:sz w:val="21"/>
        </w:rPr>
        <w:t>NACE 81.10 / 81.21 - sector codes for combined facilities support / general building cleaning.</w:t>
      </w:r>
    </w:p>
    <w:p>
      <w:pPr>
        <w:pStyle w:val="ListBullet"/>
        <w:spacing w:after="40"/>
        <w:ind w:left="340"/>
      </w:pPr>
      <w:r>
        <w:rPr>
          <w:rFonts w:ascii="Calibri" w:hAnsi="Calibri"/>
          <w:color w:val="333333"/>
          <w:sz w:val="21"/>
        </w:rPr>
        <w:t>PMI - post-merger integration.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