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666666"/>
          <w:sz w:val="18"/>
        </w:rPr>
        <w:t>KLAR PARTNERS  |  SCREEN MEMO  |  CONFIDENTIAL</w:t>
      </w:r>
    </w:p>
    <w:p>
      <w:pPr>
        <w:spacing w:before="0" w:after="20"/>
      </w:pPr>
      <w:r>
        <w:rPr>
          <w:rFonts w:ascii="Calibri" w:hAnsi="Calibri"/>
          <w:b/>
          <w:i w:val="0"/>
          <w:color w:val="1F3A5F"/>
          <w:sz w:val="42"/>
        </w:rPr>
        <w:t>Nordic Property Maintenance Roll-Up</w:t>
      </w:r>
    </w:p>
    <w:p>
      <w:pPr>
        <w:spacing w:before="0" w:after="200"/>
      </w:pPr>
      <w:r>
        <w:rPr>
          <w:rFonts w:ascii="Calibri" w:hAnsi="Calibri"/>
          <w:b w:val="0"/>
          <w:i/>
          <w:color w:val="666666"/>
          <w:sz w:val="24"/>
        </w:rPr>
        <w:t>The #2 platform behind PHM Group</w:t>
      </w:r>
    </w:p>
    <w:tbl>
      <w:tblPr>
        <w:tblW w:type="auto" w:w="0"/>
        <w:tblLook w:firstColumn="1" w:firstRow="1" w:lastColumn="0" w:lastRow="0" w:noHBand="0" w:noVBand="1" w:val="04A0"/>
      </w:tblPr>
      <w:tblGrid>
        <w:gridCol w:w="4986"/>
        <w:gridCol w:w="4986"/>
      </w:tblGrid>
      <w:tr>
        <w:tc>
          <w:tcPr>
            <w:tcW w:type="dxa" w:w="1417"/>
          </w:tcPr>
          <w:p>
            <w:r/>
            <w:r>
              <w:rPr>
                <w:b/>
                <w:color w:val="1F3A5F"/>
                <w:sz w:val="20"/>
              </w:rPr>
              <w:t>Sector</w:t>
            </w:r>
          </w:p>
        </w:tc>
        <w:tc>
          <w:tcPr>
            <w:tcW w:type="dxa" w:w="8220"/>
          </w:tcPr>
          <w:p>
            <w:r/>
            <w:r>
              <w:rPr>
                <w:color w:val="2A2A2A"/>
                <w:sz w:val="20"/>
              </w:rPr>
              <w:t>Property maintenance / janitorial (vaktmester, eiendomsdrift, fastighetsskötsel)</w:t>
            </w:r>
          </w:p>
        </w:tc>
      </w:tr>
      <w:tr>
        <w:tc>
          <w:tcPr>
            <w:tcW w:type="dxa" w:w="1417"/>
          </w:tcPr>
          <w:p>
            <w:r/>
            <w:r>
              <w:rPr>
                <w:b/>
                <w:color w:val="1F3A5F"/>
                <w:sz w:val="20"/>
              </w:rPr>
              <w:t>Author</w:t>
            </w:r>
          </w:p>
        </w:tc>
        <w:tc>
          <w:tcPr>
            <w:tcW w:type="dxa" w:w="8220"/>
          </w:tcPr>
          <w:p>
            <w:r/>
            <w:r>
              <w:rPr>
                <w:color w:val="2A2A2A"/>
                <w:sz w:val="20"/>
              </w:rPr>
              <w:t>[Deal team]</w:t>
            </w:r>
          </w:p>
        </w:tc>
      </w:tr>
      <w:tr>
        <w:tc>
          <w:tcPr>
            <w:tcW w:type="dxa" w:w="1417"/>
          </w:tcPr>
          <w:p>
            <w:r/>
            <w:r>
              <w:rPr>
                <w:b/>
                <w:color w:val="1F3A5F"/>
                <w:sz w:val="20"/>
              </w:rPr>
              <w:t>Date</w:t>
            </w:r>
          </w:p>
        </w:tc>
        <w:tc>
          <w:tcPr>
            <w:tcW w:type="dxa" w:w="8220"/>
          </w:tcPr>
          <w:p>
            <w:r/>
            <w:r>
              <w:rPr>
                <w:color w:val="2A2A2A"/>
                <w:sz w:val="20"/>
              </w:rPr>
              <w:t>May 2026</w:t>
            </w:r>
          </w:p>
        </w:tc>
      </w:tr>
      <w:tr>
        <w:tc>
          <w:tcPr>
            <w:tcW w:type="dxa" w:w="1417"/>
          </w:tcPr>
          <w:p>
            <w:r/>
            <w:r>
              <w:rPr>
                <w:b/>
                <w:color w:val="1F3A5F"/>
                <w:sz w:val="20"/>
              </w:rPr>
              <w:t>Verdict</w:t>
            </w:r>
          </w:p>
        </w:tc>
        <w:tc>
          <w:tcPr>
            <w:tcW w:type="dxa" w:w="8220"/>
          </w:tcPr>
          <w:p>
            <w:r/>
            <w:r>
              <w:rPr>
                <w:color w:val="2A2A2A"/>
                <w:sz w:val="20"/>
              </w:rPr>
              <w:t>DEVELOP - 12-week workplan to test a single binary question; convert to IC paper or pass</w:t>
            </w:r>
          </w:p>
        </w:tc>
      </w:tr>
    </w:tbl>
    <w:p/>
    <w:p>
      <w:pPr>
        <w:spacing w:before="240" w:after="60"/>
      </w:pPr>
      <w:r>
        <w:rPr>
          <w:rFonts w:ascii="Calibri" w:hAnsi="Calibri"/>
          <w:b/>
          <w:i w:val="0"/>
          <w:color w:val="1F3A5F"/>
          <w:sz w:val="28"/>
        </w:rPr>
        <w:t>1.  Recommendation</w:t>
      </w:r>
    </w:p>
    <w:tbl>
      <w:tblPr>
        <w:tblW w:type="auto" w:w="0"/>
        <w:tblLook w:firstColumn="1" w:firstRow="1" w:lastColumn="0" w:lastRow="0" w:noHBand="0" w:noVBand="1" w:val="04A0"/>
      </w:tblPr>
      <w:tblGrid>
        <w:gridCol w:w="9972"/>
      </w:tblGrid>
      <w:tr>
        <w:tc>
          <w:tcPr>
            <w:tcW w:type="dxa" w:w="9972"/>
            <w:shd w:val="clear" w:color="auto" w:fill="E8F0FA"/>
            <w:tcBorders>
              <w:top w:val="single" w:sz="4" w:color="C8CCD2"/>
              <w:left w:val="single" w:sz="4" w:color="C8CCD2"/>
              <w:bottom w:val="single" w:sz="4" w:color="C8CCD2"/>
              <w:right w:val="single" w:sz="4" w:color="C8CCD2"/>
            </w:tcBorders>
          </w:tcPr>
          <w:p>
            <w:r/>
            <w:r>
              <w:rPr>
                <w:rFonts w:ascii="Calibri" w:hAnsi="Calibri"/>
                <w:b/>
                <w:color w:val="1F3A5F"/>
                <w:sz w:val="22"/>
              </w:rPr>
              <w:t>Develop. Dedicate one senior originator for 12 weeks to test a single binary question: can we put Din Vaktmester (Trondheim) or Vaktmesterkompaniet (Oslo) under exclusivity at 8.5-9.5x FY24E EBITDA before PHM enters or completes its sell-side process? If yes, convert to IC. If not, pass without further work.</w:t>
            </w:r>
          </w:p>
        </w:tc>
      </w:tr>
    </w:tbl>
    <w:p>
      <w:pPr>
        <w:spacing w:after="0"/>
      </w:pPr>
    </w:p>
    <w:p>
      <w:pPr>
        <w:spacing w:before="0" w:after="80"/>
      </w:pPr>
      <w:r>
        <w:rPr>
          <w:rFonts w:ascii="Calibri" w:hAnsi="Calibri"/>
          <w:b w:val="0"/>
          <w:i w:val="0"/>
          <w:color w:val="2A2A2A"/>
          <w:sz w:val="21"/>
        </w:rPr>
        <w:t>The Norwegian property maintenance market is fragmented enough to absorb a second consolidator and PHM's seven-year track record removes execution risk on the playbook. The case turns entirely on anchor access at a disciplined entry multiple and on running ahead of, not into, PHM's sponsor transition. Both questions are testable inside a quarter for under NOK 1m of external spend.</w:t>
      </w:r>
    </w:p>
    <w:p>
      <w:pPr>
        <w:spacing w:before="0" w:after="80"/>
      </w:pPr>
      <w:r>
        <w:rPr>
          <w:rFonts w:ascii="Calibri" w:hAnsi="Calibri"/>
          <w:b w:val="0"/>
          <w:i w:val="0"/>
          <w:color w:val="2A2A2A"/>
          <w:sz w:val="21"/>
        </w:rPr>
        <w:t>We do not recommend a fund-slot reservation. We do not recommend a full sector diligence yet. We recommend three management conversations and one banker round, to decide whether this becomes a real deal or stays a watching brief.</w:t>
      </w:r>
    </w:p>
    <w:p>
      <w:pPr>
        <w:spacing w:before="240" w:after="60"/>
      </w:pPr>
      <w:r>
        <w:rPr>
          <w:rFonts w:ascii="Calibri" w:hAnsi="Calibri"/>
          <w:b/>
          <w:i w:val="0"/>
          <w:color w:val="1F3A5F"/>
          <w:sz w:val="28"/>
        </w:rPr>
        <w:t>2.  The Opportunity</w:t>
      </w:r>
    </w:p>
    <w:p>
      <w:pPr>
        <w:spacing w:before="120" w:after="40"/>
      </w:pPr>
      <w:r>
        <w:rPr>
          <w:rFonts w:ascii="Calibri" w:hAnsi="Calibri"/>
          <w:b/>
          <w:i w:val="0"/>
          <w:color w:val="2A2A2A"/>
          <w:sz w:val="22"/>
        </w:rPr>
        <w:t>2.1  What PHM has demonstrated</w:t>
      </w:r>
    </w:p>
    <w:p>
      <w:pPr>
        <w:spacing w:before="0" w:after="80"/>
      </w:pPr>
      <w:r>
        <w:rPr>
          <w:rFonts w:ascii="Calibri" w:hAnsi="Calibri"/>
          <w:b w:val="0"/>
          <w:i w:val="0"/>
          <w:color w:val="2A2A2A"/>
          <w:sz w:val="21"/>
        </w:rPr>
        <w:t>Norvestor VIII backed the formation of PHM Group in 2017 and has consolidated an estimated 100 Nordic property maintenance operators across Finland, Norway, Sweden and Denmark. Group revenue is approximately EUR 600-800m FY24 (not publicly disclosed; triangulated from Norwegian sub filings and Norvestor fund commentary). In Norway, PHM has closed roughly 30 acquisitions including the absorption of Sefbo in 2022, itself a 33-company roll-up. We estimate PHM Norway at NOK 1.5-2.5bn revenue, equating to 6-15% share of the NOK 15-25bn Norwegian addressable market depending on definitional cut.</w:t>
      </w:r>
    </w:p>
    <w:p>
      <w:pPr>
        <w:spacing w:before="0" w:after="80"/>
      </w:pPr>
      <w:r>
        <w:rPr>
          <w:rFonts w:ascii="Calibri" w:hAnsi="Calibri"/>
          <w:b w:val="0"/>
          <w:i w:val="0"/>
          <w:color w:val="2A2A2A"/>
          <w:sz w:val="21"/>
        </w:rPr>
        <w:t>Two read-throughs from PHM matter for our case. First, the playbook works: Norvestor took a small Finnish anchor in 2017 and built a platform now likely valued at EUR 1.4-1.8bn EV (implied 11-12x FY24E EBITDA). Second, PHM cannot absorb the entire market alone. The Norwegian acquirable supply set in the NOK 30-400m revenue band is approximately 200-300 entities; PHM has taken 30 of them. The remaining 170+ targets, plus organic-growth demand, are why a #2 platform construction is arithmetically possible.</w:t>
      </w:r>
    </w:p>
    <w:p>
      <w:pPr>
        <w:spacing w:before="120" w:after="40"/>
      </w:pPr>
      <w:r>
        <w:rPr>
          <w:rFonts w:ascii="Calibri" w:hAnsi="Calibri"/>
          <w:b/>
          <w:i w:val="0"/>
          <w:color w:val="2A2A2A"/>
          <w:sz w:val="22"/>
        </w:rPr>
        <w:t>2.2  Why now</w:t>
      </w:r>
    </w:p>
    <w:p>
      <w:pPr>
        <w:pStyle w:val="ListBullet"/>
        <w:spacing w:after="40"/>
        <w:ind w:left="312"/>
      </w:pPr>
      <w:r>
        <w:rPr>
          <w:rFonts w:ascii="Calibri" w:hAnsi="Calibri"/>
          <w:color w:val="2A2A2A"/>
          <w:sz w:val="21"/>
        </w:rPr>
        <w:t>Sponsor transition window. Norvestor VIII vintage 2017 is at year nine. Sell-side process likely 2026-2027; group management will be process-distracted for 12-18 months. Founders considering exit are looking for alternative homes; we have a narrow window where PHM is a less-aggressive bidder.</w:t>
      </w:r>
    </w:p>
    <w:p>
      <w:pPr>
        <w:pStyle w:val="ListBullet"/>
        <w:spacing w:after="40"/>
        <w:ind w:left="312"/>
      </w:pPr>
      <w:r>
        <w:rPr>
          <w:rFonts w:ascii="Calibri" w:hAnsi="Calibri"/>
          <w:color w:val="2A2A2A"/>
          <w:sz w:val="21"/>
        </w:rPr>
        <w:t>Generational handover. Norwegian janitor businesses founded 1985-2000 are now in founder-aged-60+ territory. Sefbo (2022), Insider's Mitie Norway carve-out (2024), and Cares' sale to Equip (2023) are the visible signal.</w:t>
      </w:r>
    </w:p>
    <w:p>
      <w:pPr>
        <w:pStyle w:val="ListBullet"/>
        <w:spacing w:after="40"/>
        <w:ind w:left="312"/>
      </w:pPr>
      <w:r>
        <w:rPr>
          <w:rFonts w:ascii="Calibri" w:hAnsi="Calibri"/>
          <w:color w:val="2A2A2A"/>
          <w:sz w:val="21"/>
        </w:rPr>
        <w:t>Multiples have rebased. Nordic FM platform multiples were 11-13x in 2021-22 and have compressed to 7-9x as labour-cost services have de-rated. Bolt-on multiples are 4-6x for sub-NOK 100m targets, 6-8x for NOK 100-300m. The buy-vs-build spread to an 11-12x platform exit is currently 4-6 turns.</w:t>
      </w:r>
    </w:p>
    <w:p>
      <w:pPr>
        <w:pStyle w:val="ListBullet"/>
        <w:spacing w:after="40"/>
        <w:ind w:left="312"/>
      </w:pPr>
      <w:r>
        <w:rPr>
          <w:rFonts w:ascii="Calibri" w:hAnsi="Calibri"/>
          <w:color w:val="2A2A2A"/>
          <w:sz w:val="21"/>
        </w:rPr>
        <w:t>Comparable exits print at scale. 4Service sold to Compass in Dec 2024 (catering-led, ~30 acquisitions over 8 years under Norvestor); Cares to Equip in 2023; both validate the sponsor-to-sponsor exit market for Nordic service-led roll-ups in the NOK 2-5bn EV range.</w:t>
      </w:r>
    </w:p>
    <w:p>
      <w:pPr>
        <w:spacing w:before="120" w:after="40"/>
      </w:pPr>
      <w:r>
        <w:rPr>
          <w:rFonts w:ascii="Calibri" w:hAnsi="Calibri"/>
          <w:b/>
          <w:i w:val="0"/>
          <w:color w:val="2A2A2A"/>
          <w:sz w:val="22"/>
        </w:rPr>
        <w:t>2.3  The customer base is genuinely sticky</w:t>
      </w:r>
    </w:p>
    <w:p>
      <w:pPr>
        <w:spacing w:before="0" w:after="80"/>
      </w:pPr>
      <w:r>
        <w:rPr>
          <w:rFonts w:ascii="Calibri" w:hAnsi="Calibri"/>
          <w:b w:val="0"/>
          <w:i w:val="0"/>
          <w:color w:val="2A2A2A"/>
          <w:sz w:val="21"/>
        </w:rPr>
        <w:t>Norwegian residential property is dominated by borettslag and sameie cooperative structures; NBBL's umbrella covers 41 housing associations and roughly 525,000 units. OBOS Eiendomsforvaltning manages a meaningful share. Monthly common-area fees include a 8-12% property-services line; the contract is typically held by the housing manager or directly by the board, and switching incurs both operational disruption (keys, access codes, building knowledge) and political friction (board members defending their selection). Average customer churn in the segment is mid-single-digit annually. This is not a customer base that moves on price; it moves on relationship.</w:t>
      </w:r>
    </w:p>
    <w:p>
      <w:pPr>
        <w:spacing w:before="240" w:after="60"/>
      </w:pPr>
      <w:r>
        <w:rPr>
          <w:rFonts w:ascii="Calibri" w:hAnsi="Calibri"/>
          <w:b/>
          <w:i w:val="0"/>
          <w:color w:val="1F3A5F"/>
          <w:sz w:val="28"/>
        </w:rPr>
        <w:t>3.  Roll-Up Economics</w:t>
      </w:r>
    </w:p>
    <w:p>
      <w:pPr>
        <w:spacing w:before="0" w:after="80"/>
      </w:pPr>
      <w:r>
        <w:rPr>
          <w:rFonts w:ascii="Calibri" w:hAnsi="Calibri"/>
          <w:b w:val="0"/>
          <w:i w:val="0"/>
          <w:color w:val="2A2A2A"/>
          <w:sz w:val="21"/>
        </w:rPr>
        <w:t>Five-year plan: anchor at NOK 250-1,000m revenue, then 20-26 bolt-ons cumulating to NOK 1.2-1.6bn of acquired revenue, exiting at NOK 2.0-2.5bn revenue with 11-12% EBITDA margin. The construction is identical in shape to PHM's first five years; what differs is positioning - commercial property tilt, complementary geography to PHM's Oslo / Akershus core, and selective Swedish probe via Ocab in years 3-5.</w:t>
      </w:r>
    </w:p>
    <w:tbl>
      <w:tblPr>
        <w:tblW w:type="auto" w:w="0"/>
        <w:tblLayout w:type="fixed"/>
        <w:tblLook w:firstColumn="1" w:firstRow="1" w:lastColumn="0" w:lastRow="0" w:noHBand="0" w:noVBand="1" w:val="04A0"/>
      </w:tblPr>
      <w:tblGrid>
        <w:gridCol w:w="1994"/>
        <w:gridCol w:w="1994"/>
        <w:gridCol w:w="1994"/>
        <w:gridCol w:w="1994"/>
        <w:gridCol w:w="1994"/>
      </w:tblGrid>
      <w:tr>
        <w:tc>
          <w:tcPr>
            <w:tcW w:type="dxa" w:w="850"/>
            <w:shd w:val="clear" w:color="auto" w:fill="1F3A5F"/>
            <w:tcBorders>
              <w:top w:val="single" w:sz="4" w:color="C8CCD2"/>
              <w:left w:val="single" w:sz="4" w:color="C8CCD2"/>
              <w:bottom w:val="single" w:sz="4" w:color="C8CCD2"/>
              <w:right w:val="single" w:sz="4" w:color="C8CCD2"/>
            </w:tcBorders>
            <w:vAlign w:val="center"/>
          </w:tcPr>
          <w:p>
            <w:r/>
            <w:r>
              <w:rPr>
                <w:rFonts w:ascii="Calibri" w:hAnsi="Calibri"/>
                <w:b/>
                <w:color w:val="FFFFFF"/>
                <w:sz w:val="19"/>
              </w:rPr>
              <w:t>Year</w:t>
            </w:r>
          </w:p>
        </w:tc>
        <w:tc>
          <w:tcPr>
            <w:tcW w:type="dxa" w:w="3685"/>
            <w:shd w:val="clear" w:color="auto" w:fill="1F3A5F"/>
            <w:tcBorders>
              <w:top w:val="single" w:sz="4" w:color="C8CCD2"/>
              <w:left w:val="single" w:sz="4" w:color="C8CCD2"/>
              <w:bottom w:val="single" w:sz="4" w:color="C8CCD2"/>
              <w:right w:val="single" w:sz="4" w:color="C8CCD2"/>
            </w:tcBorders>
            <w:vAlign w:val="center"/>
          </w:tcPr>
          <w:p>
            <w:r/>
            <w:r>
              <w:rPr>
                <w:rFonts w:ascii="Calibri" w:hAnsi="Calibri"/>
                <w:b/>
                <w:color w:val="FFFFFF"/>
                <w:sz w:val="19"/>
              </w:rPr>
              <w:t>Activity</w:t>
            </w:r>
          </w:p>
        </w:tc>
        <w:tc>
          <w:tcPr>
            <w:tcW w:type="dxa" w:w="1417"/>
            <w:shd w:val="clear" w:color="auto" w:fill="1F3A5F"/>
            <w:tcBorders>
              <w:top w:val="single" w:sz="4" w:color="C8CCD2"/>
              <w:left w:val="single" w:sz="4" w:color="C8CCD2"/>
              <w:bottom w:val="single" w:sz="4" w:color="C8CCD2"/>
              <w:right w:val="single" w:sz="4" w:color="C8CCD2"/>
            </w:tcBorders>
            <w:vAlign w:val="center"/>
          </w:tcPr>
          <w:p>
            <w:r/>
            <w:r>
              <w:rPr>
                <w:rFonts w:ascii="Calibri" w:hAnsi="Calibri"/>
                <w:b/>
                <w:color w:val="FFFFFF"/>
                <w:sz w:val="19"/>
              </w:rPr>
              <w:t>Revenue (NOKm)</w:t>
            </w:r>
          </w:p>
        </w:tc>
        <w:tc>
          <w:tcPr>
            <w:tcW w:type="dxa" w:w="1134"/>
            <w:shd w:val="clear" w:color="auto" w:fill="1F3A5F"/>
            <w:tcBorders>
              <w:top w:val="single" w:sz="4" w:color="C8CCD2"/>
              <w:left w:val="single" w:sz="4" w:color="C8CCD2"/>
              <w:bottom w:val="single" w:sz="4" w:color="C8CCD2"/>
              <w:right w:val="single" w:sz="4" w:color="C8CCD2"/>
            </w:tcBorders>
            <w:vAlign w:val="center"/>
          </w:tcPr>
          <w:p>
            <w:r/>
            <w:r>
              <w:rPr>
                <w:rFonts w:ascii="Calibri" w:hAnsi="Calibri"/>
                <w:b/>
                <w:color w:val="FFFFFF"/>
                <w:sz w:val="19"/>
              </w:rPr>
              <w:t>EBITDA %</w:t>
            </w:r>
          </w:p>
        </w:tc>
        <w:tc>
          <w:tcPr>
            <w:tcW w:type="dxa" w:w="2268"/>
            <w:shd w:val="clear" w:color="auto" w:fill="1F3A5F"/>
            <w:tcBorders>
              <w:top w:val="single" w:sz="4" w:color="C8CCD2"/>
              <w:left w:val="single" w:sz="4" w:color="C8CCD2"/>
              <w:bottom w:val="single" w:sz="4" w:color="C8CCD2"/>
              <w:right w:val="single" w:sz="4" w:color="C8CCD2"/>
            </w:tcBorders>
            <w:vAlign w:val="center"/>
          </w:tcPr>
          <w:p>
            <w:r/>
            <w:r>
              <w:rPr>
                <w:rFonts w:ascii="Calibri" w:hAnsi="Calibri"/>
                <w:b/>
                <w:color w:val="FFFFFF"/>
                <w:sz w:val="19"/>
              </w:rPr>
              <w:t>EBITDA (NOKm)</w:t>
            </w:r>
          </w:p>
        </w:tc>
      </w:tr>
      <w:tr>
        <w:tc>
          <w:tcPr>
            <w:tcW w:type="dxa" w:w="850"/>
            <w:tcBorders>
              <w:top w:val="single" w:sz="4" w:color="C8CCD2"/>
              <w:left w:val="single" w:sz="4" w:color="C8CCD2"/>
              <w:bottom w:val="single" w:sz="4" w:color="C8CCD2"/>
              <w:right w:val="single" w:sz="4" w:color="C8CCD2"/>
            </w:tcBorders>
            <w:vAlign w:val="center"/>
          </w:tcPr>
          <w:p>
            <w:r/>
            <w:r>
              <w:rPr>
                <w:rFonts w:ascii="Calibri" w:hAnsi="Calibri"/>
                <w:color w:val="2A2A2A"/>
                <w:sz w:val="19"/>
              </w:rPr>
              <w:t>Y0</w:t>
            </w:r>
          </w:p>
        </w:tc>
        <w:tc>
          <w:tcPr>
            <w:tcW w:type="dxa" w:w="3685"/>
            <w:tcBorders>
              <w:top w:val="single" w:sz="4" w:color="C8CCD2"/>
              <w:left w:val="single" w:sz="4" w:color="C8CCD2"/>
              <w:bottom w:val="single" w:sz="4" w:color="C8CCD2"/>
              <w:right w:val="single" w:sz="4" w:color="C8CCD2"/>
            </w:tcBorders>
            <w:vAlign w:val="center"/>
          </w:tcPr>
          <w:p>
            <w:r/>
            <w:r>
              <w:rPr>
                <w:rFonts w:ascii="Calibri" w:hAnsi="Calibri"/>
                <w:color w:val="2A2A2A"/>
                <w:sz w:val="19"/>
              </w:rPr>
              <w:t>Anchor close; integration team built</w:t>
            </w:r>
          </w:p>
        </w:tc>
        <w:tc>
          <w:tcPr>
            <w:tcW w:type="dxa" w:w="1417"/>
            <w:tcBorders>
              <w:top w:val="single" w:sz="4" w:color="C8CCD2"/>
              <w:left w:val="single" w:sz="4" w:color="C8CCD2"/>
              <w:bottom w:val="single" w:sz="4" w:color="C8CCD2"/>
              <w:right w:val="single" w:sz="4" w:color="C8CCD2"/>
            </w:tcBorders>
            <w:vAlign w:val="center"/>
          </w:tcPr>
          <w:p>
            <w:r/>
            <w:r>
              <w:rPr>
                <w:rFonts w:ascii="Calibri" w:hAnsi="Calibri"/>
                <w:color w:val="2A2A2A"/>
                <w:sz w:val="19"/>
              </w:rPr>
              <w:t>300</w:t>
            </w:r>
          </w:p>
        </w:tc>
        <w:tc>
          <w:tcPr>
            <w:tcW w:type="dxa" w:w="1134"/>
            <w:tcBorders>
              <w:top w:val="single" w:sz="4" w:color="C8CCD2"/>
              <w:left w:val="single" w:sz="4" w:color="C8CCD2"/>
              <w:bottom w:val="single" w:sz="4" w:color="C8CCD2"/>
              <w:right w:val="single" w:sz="4" w:color="C8CCD2"/>
            </w:tcBorders>
            <w:vAlign w:val="center"/>
          </w:tcPr>
          <w:p>
            <w:r/>
            <w:r>
              <w:rPr>
                <w:rFonts w:ascii="Calibri" w:hAnsi="Calibri"/>
                <w:color w:val="2A2A2A"/>
                <w:sz w:val="19"/>
              </w:rPr>
              <w:t>8.5%</w:t>
            </w:r>
          </w:p>
        </w:tc>
        <w:tc>
          <w:tcPr>
            <w:tcW w:type="dxa" w:w="2268"/>
            <w:tcBorders>
              <w:top w:val="single" w:sz="4" w:color="C8CCD2"/>
              <w:left w:val="single" w:sz="4" w:color="C8CCD2"/>
              <w:bottom w:val="single" w:sz="4" w:color="C8CCD2"/>
              <w:right w:val="single" w:sz="4" w:color="C8CCD2"/>
            </w:tcBorders>
            <w:vAlign w:val="center"/>
          </w:tcPr>
          <w:p>
            <w:r/>
            <w:r>
              <w:rPr>
                <w:rFonts w:ascii="Calibri" w:hAnsi="Calibri"/>
                <w:color w:val="2A2A2A"/>
                <w:sz w:val="19"/>
              </w:rPr>
              <w:t>26</w:t>
            </w:r>
          </w:p>
        </w:tc>
      </w:tr>
      <w:tr>
        <w:tc>
          <w:tcPr>
            <w:tcW w:type="dxa" w:w="850"/>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Y1</w:t>
            </w:r>
          </w:p>
        </w:tc>
        <w:tc>
          <w:tcPr>
            <w:tcW w:type="dxa" w:w="3685"/>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3-5 bolt-ons; route density build</w:t>
            </w:r>
          </w:p>
        </w:tc>
        <w:tc>
          <w:tcPr>
            <w:tcW w:type="dxa" w:w="1417"/>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550</w:t>
            </w:r>
          </w:p>
        </w:tc>
        <w:tc>
          <w:tcPr>
            <w:tcW w:type="dxa" w:w="1134"/>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9.0%</w:t>
            </w:r>
          </w:p>
        </w:tc>
        <w:tc>
          <w:tcPr>
            <w:tcW w:type="dxa" w:w="2268"/>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50</w:t>
            </w:r>
          </w:p>
        </w:tc>
      </w:tr>
      <w:tr>
        <w:tc>
          <w:tcPr>
            <w:tcW w:type="dxa" w:w="850"/>
            <w:tcBorders>
              <w:top w:val="single" w:sz="4" w:color="C8CCD2"/>
              <w:left w:val="single" w:sz="4" w:color="C8CCD2"/>
              <w:bottom w:val="single" w:sz="4" w:color="C8CCD2"/>
              <w:right w:val="single" w:sz="4" w:color="C8CCD2"/>
            </w:tcBorders>
            <w:vAlign w:val="center"/>
          </w:tcPr>
          <w:p>
            <w:r/>
            <w:r>
              <w:rPr>
                <w:rFonts w:ascii="Calibri" w:hAnsi="Calibri"/>
                <w:color w:val="2A2A2A"/>
                <w:sz w:val="19"/>
              </w:rPr>
              <w:t>Y2</w:t>
            </w:r>
          </w:p>
        </w:tc>
        <w:tc>
          <w:tcPr>
            <w:tcW w:type="dxa" w:w="3685"/>
            <w:tcBorders>
              <w:top w:val="single" w:sz="4" w:color="C8CCD2"/>
              <w:left w:val="single" w:sz="4" w:color="C8CCD2"/>
              <w:bottom w:val="single" w:sz="4" w:color="C8CCD2"/>
              <w:right w:val="single" w:sz="4" w:color="C8CCD2"/>
            </w:tcBorders>
            <w:vAlign w:val="center"/>
          </w:tcPr>
          <w:p>
            <w:r/>
            <w:r>
              <w:rPr>
                <w:rFonts w:ascii="Calibri" w:hAnsi="Calibri"/>
                <w:color w:val="2A2A2A"/>
                <w:sz w:val="19"/>
              </w:rPr>
              <w:t>5-6 bolt-ons incl. one mid-sized; procurement consolidation</w:t>
            </w:r>
          </w:p>
        </w:tc>
        <w:tc>
          <w:tcPr>
            <w:tcW w:type="dxa" w:w="1417"/>
            <w:tcBorders>
              <w:top w:val="single" w:sz="4" w:color="C8CCD2"/>
              <w:left w:val="single" w:sz="4" w:color="C8CCD2"/>
              <w:bottom w:val="single" w:sz="4" w:color="C8CCD2"/>
              <w:right w:val="single" w:sz="4" w:color="C8CCD2"/>
            </w:tcBorders>
            <w:vAlign w:val="center"/>
          </w:tcPr>
          <w:p>
            <w:r/>
            <w:r>
              <w:rPr>
                <w:rFonts w:ascii="Calibri" w:hAnsi="Calibri"/>
                <w:color w:val="2A2A2A"/>
                <w:sz w:val="19"/>
              </w:rPr>
              <w:t>950</w:t>
            </w:r>
          </w:p>
        </w:tc>
        <w:tc>
          <w:tcPr>
            <w:tcW w:type="dxa" w:w="1134"/>
            <w:tcBorders>
              <w:top w:val="single" w:sz="4" w:color="C8CCD2"/>
              <w:left w:val="single" w:sz="4" w:color="C8CCD2"/>
              <w:bottom w:val="single" w:sz="4" w:color="C8CCD2"/>
              <w:right w:val="single" w:sz="4" w:color="C8CCD2"/>
            </w:tcBorders>
            <w:vAlign w:val="center"/>
          </w:tcPr>
          <w:p>
            <w:r/>
            <w:r>
              <w:rPr>
                <w:rFonts w:ascii="Calibri" w:hAnsi="Calibri"/>
                <w:color w:val="2A2A2A"/>
                <w:sz w:val="19"/>
              </w:rPr>
              <w:t>9.5%</w:t>
            </w:r>
          </w:p>
        </w:tc>
        <w:tc>
          <w:tcPr>
            <w:tcW w:type="dxa" w:w="2268"/>
            <w:tcBorders>
              <w:top w:val="single" w:sz="4" w:color="C8CCD2"/>
              <w:left w:val="single" w:sz="4" w:color="C8CCD2"/>
              <w:bottom w:val="single" w:sz="4" w:color="C8CCD2"/>
              <w:right w:val="single" w:sz="4" w:color="C8CCD2"/>
            </w:tcBorders>
            <w:vAlign w:val="center"/>
          </w:tcPr>
          <w:p>
            <w:r/>
            <w:r>
              <w:rPr>
                <w:rFonts w:ascii="Calibri" w:hAnsi="Calibri"/>
                <w:color w:val="2A2A2A"/>
                <w:sz w:val="19"/>
              </w:rPr>
              <w:t>90</w:t>
            </w:r>
          </w:p>
        </w:tc>
      </w:tr>
      <w:tr>
        <w:tc>
          <w:tcPr>
            <w:tcW w:type="dxa" w:w="850"/>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Y3</w:t>
            </w:r>
          </w:p>
        </w:tc>
        <w:tc>
          <w:tcPr>
            <w:tcW w:type="dxa" w:w="3685"/>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5-6 bolt-ons; Nimlas technical cross-sell pilot; recap option</w:t>
            </w:r>
          </w:p>
        </w:tc>
        <w:tc>
          <w:tcPr>
            <w:tcW w:type="dxa" w:w="1417"/>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1,400</w:t>
            </w:r>
          </w:p>
        </w:tc>
        <w:tc>
          <w:tcPr>
            <w:tcW w:type="dxa" w:w="1134"/>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10.5%</w:t>
            </w:r>
          </w:p>
        </w:tc>
        <w:tc>
          <w:tcPr>
            <w:tcW w:type="dxa" w:w="2268"/>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147</w:t>
            </w:r>
          </w:p>
        </w:tc>
      </w:tr>
      <w:tr>
        <w:tc>
          <w:tcPr>
            <w:tcW w:type="dxa" w:w="850"/>
            <w:tcBorders>
              <w:top w:val="single" w:sz="4" w:color="C8CCD2"/>
              <w:left w:val="single" w:sz="4" w:color="C8CCD2"/>
              <w:bottom w:val="single" w:sz="4" w:color="C8CCD2"/>
              <w:right w:val="single" w:sz="4" w:color="C8CCD2"/>
            </w:tcBorders>
            <w:vAlign w:val="center"/>
          </w:tcPr>
          <w:p>
            <w:r/>
            <w:r>
              <w:rPr>
                <w:rFonts w:ascii="Calibri" w:hAnsi="Calibri"/>
                <w:color w:val="2A2A2A"/>
                <w:sz w:val="19"/>
              </w:rPr>
              <w:t>Y4</w:t>
            </w:r>
          </w:p>
        </w:tc>
        <w:tc>
          <w:tcPr>
            <w:tcW w:type="dxa" w:w="3685"/>
            <w:tcBorders>
              <w:top w:val="single" w:sz="4" w:color="C8CCD2"/>
              <w:left w:val="single" w:sz="4" w:color="C8CCD2"/>
              <w:bottom w:val="single" w:sz="4" w:color="C8CCD2"/>
              <w:right w:val="single" w:sz="4" w:color="C8CCD2"/>
            </w:tcBorders>
            <w:vAlign w:val="center"/>
          </w:tcPr>
          <w:p>
            <w:r/>
            <w:r>
              <w:rPr>
                <w:rFonts w:ascii="Calibri" w:hAnsi="Calibri"/>
                <w:color w:val="2A2A2A"/>
                <w:sz w:val="19"/>
              </w:rPr>
              <w:t>4-5 bolt-ons; Swedish probe via Ocab</w:t>
            </w:r>
          </w:p>
        </w:tc>
        <w:tc>
          <w:tcPr>
            <w:tcW w:type="dxa" w:w="1417"/>
            <w:tcBorders>
              <w:top w:val="single" w:sz="4" w:color="C8CCD2"/>
              <w:left w:val="single" w:sz="4" w:color="C8CCD2"/>
              <w:bottom w:val="single" w:sz="4" w:color="C8CCD2"/>
              <w:right w:val="single" w:sz="4" w:color="C8CCD2"/>
            </w:tcBorders>
            <w:vAlign w:val="center"/>
          </w:tcPr>
          <w:p>
            <w:r/>
            <w:r>
              <w:rPr>
                <w:rFonts w:ascii="Calibri" w:hAnsi="Calibri"/>
                <w:color w:val="2A2A2A"/>
                <w:sz w:val="19"/>
              </w:rPr>
              <w:t>1,800</w:t>
            </w:r>
          </w:p>
        </w:tc>
        <w:tc>
          <w:tcPr>
            <w:tcW w:type="dxa" w:w="1134"/>
            <w:tcBorders>
              <w:top w:val="single" w:sz="4" w:color="C8CCD2"/>
              <w:left w:val="single" w:sz="4" w:color="C8CCD2"/>
              <w:bottom w:val="single" w:sz="4" w:color="C8CCD2"/>
              <w:right w:val="single" w:sz="4" w:color="C8CCD2"/>
            </w:tcBorders>
            <w:vAlign w:val="center"/>
          </w:tcPr>
          <w:p>
            <w:r/>
            <w:r>
              <w:rPr>
                <w:rFonts w:ascii="Calibri" w:hAnsi="Calibri"/>
                <w:color w:val="2A2A2A"/>
                <w:sz w:val="19"/>
              </w:rPr>
              <w:t>11.0%</w:t>
            </w:r>
          </w:p>
        </w:tc>
        <w:tc>
          <w:tcPr>
            <w:tcW w:type="dxa" w:w="2268"/>
            <w:tcBorders>
              <w:top w:val="single" w:sz="4" w:color="C8CCD2"/>
              <w:left w:val="single" w:sz="4" w:color="C8CCD2"/>
              <w:bottom w:val="single" w:sz="4" w:color="C8CCD2"/>
              <w:right w:val="single" w:sz="4" w:color="C8CCD2"/>
            </w:tcBorders>
            <w:vAlign w:val="center"/>
          </w:tcPr>
          <w:p>
            <w:r/>
            <w:r>
              <w:rPr>
                <w:rFonts w:ascii="Calibri" w:hAnsi="Calibri"/>
                <w:color w:val="2A2A2A"/>
                <w:sz w:val="19"/>
              </w:rPr>
              <w:t>198</w:t>
            </w:r>
          </w:p>
        </w:tc>
      </w:tr>
      <w:tr>
        <w:tc>
          <w:tcPr>
            <w:tcW w:type="dxa" w:w="850"/>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Y5</w:t>
            </w:r>
          </w:p>
        </w:tc>
        <w:tc>
          <w:tcPr>
            <w:tcW w:type="dxa" w:w="3685"/>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Exit prep; sell-side preparation</w:t>
            </w:r>
          </w:p>
        </w:tc>
        <w:tc>
          <w:tcPr>
            <w:tcW w:type="dxa" w:w="1417"/>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2,200</w:t>
            </w:r>
          </w:p>
        </w:tc>
        <w:tc>
          <w:tcPr>
            <w:tcW w:type="dxa" w:w="1134"/>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11.5%</w:t>
            </w:r>
          </w:p>
        </w:tc>
        <w:tc>
          <w:tcPr>
            <w:tcW w:type="dxa" w:w="2268"/>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253</w:t>
            </w:r>
          </w:p>
        </w:tc>
      </w:tr>
    </w:tbl>
    <w:p>
      <w:pPr>
        <w:spacing w:after="0"/>
      </w:pPr>
    </w:p>
    <w:p>
      <w:pPr>
        <w:spacing w:before="0" w:after="80"/>
      </w:pPr>
      <w:r>
        <w:rPr>
          <w:rFonts w:ascii="Calibri" w:hAnsi="Calibri"/>
          <w:b w:val="0"/>
          <w:i w:val="0"/>
          <w:color w:val="2A2A2A"/>
          <w:sz w:val="21"/>
        </w:rPr>
        <w:t>Anchor enters at 8.5-9.5x. Blended bolt-on multiple ~6.0x. Weighted-average acquisition multiple across the program ~6.8x. Exit at 11.5x on NOK 253m EBITDA implies EV NOK 2.9bn. The arithmetic is conventional roll-up: multiple arbitrage of 4.7 turns provides ~60% of value creation; margin expansion (300 bps over five years through density and procurement) provides ~25%; organic growth (3-4% real) the remainder.</w:t>
      </w:r>
    </w:p>
    <w:p>
      <w:pPr>
        <w:spacing w:before="120" w:after="40"/>
      </w:pPr>
      <w:r>
        <w:rPr>
          <w:rFonts w:ascii="Calibri" w:hAnsi="Calibri"/>
          <w:b/>
          <w:i w:val="0"/>
          <w:color w:val="2A2A2A"/>
          <w:sz w:val="22"/>
        </w:rPr>
        <w:t>3.1  Returns</w:t>
      </w:r>
    </w:p>
    <w:tbl>
      <w:tblPr>
        <w:tblW w:type="auto" w:w="0"/>
        <w:tblLayout w:type="fixed"/>
        <w:tblLook w:firstColumn="1" w:firstRow="1" w:lastColumn="0" w:lastRow="0" w:noHBand="0" w:noVBand="1" w:val="04A0"/>
      </w:tblPr>
      <w:tblGrid>
        <w:gridCol w:w="2493"/>
        <w:gridCol w:w="2493"/>
        <w:gridCol w:w="2493"/>
        <w:gridCol w:w="2493"/>
      </w:tblGrid>
      <w:tr>
        <w:tc>
          <w:tcPr>
            <w:tcW w:type="dxa" w:w="3969"/>
            <w:shd w:val="clear" w:color="auto" w:fill="1F3A5F"/>
            <w:tcBorders>
              <w:top w:val="single" w:sz="4" w:color="C8CCD2"/>
              <w:left w:val="single" w:sz="4" w:color="C8CCD2"/>
              <w:bottom w:val="single" w:sz="4" w:color="C8CCD2"/>
              <w:right w:val="single" w:sz="4" w:color="C8CCD2"/>
            </w:tcBorders>
            <w:vAlign w:val="center"/>
          </w:tcPr>
          <w:p>
            <w:r/>
            <w:r>
              <w:rPr>
                <w:rFonts w:ascii="Calibri" w:hAnsi="Calibri"/>
                <w:b/>
                <w:color w:val="FFFFFF"/>
                <w:sz w:val="19"/>
              </w:rPr>
            </w:r>
          </w:p>
        </w:tc>
        <w:tc>
          <w:tcPr>
            <w:tcW w:type="dxa" w:w="1871"/>
            <w:shd w:val="clear" w:color="auto" w:fill="1F3A5F"/>
            <w:tcBorders>
              <w:top w:val="single" w:sz="4" w:color="C8CCD2"/>
              <w:left w:val="single" w:sz="4" w:color="C8CCD2"/>
              <w:bottom w:val="single" w:sz="4" w:color="C8CCD2"/>
              <w:right w:val="single" w:sz="4" w:color="C8CCD2"/>
            </w:tcBorders>
            <w:vAlign w:val="center"/>
          </w:tcPr>
          <w:p>
            <w:r/>
            <w:r>
              <w:rPr>
                <w:rFonts w:ascii="Calibri" w:hAnsi="Calibri"/>
                <w:b/>
                <w:color w:val="FFFFFF"/>
                <w:sz w:val="19"/>
              </w:rPr>
              <w:t>Base</w:t>
            </w:r>
          </w:p>
        </w:tc>
        <w:tc>
          <w:tcPr>
            <w:tcW w:type="dxa" w:w="1871"/>
            <w:shd w:val="clear" w:color="auto" w:fill="1F3A5F"/>
            <w:tcBorders>
              <w:top w:val="single" w:sz="4" w:color="C8CCD2"/>
              <w:left w:val="single" w:sz="4" w:color="C8CCD2"/>
              <w:bottom w:val="single" w:sz="4" w:color="C8CCD2"/>
              <w:right w:val="single" w:sz="4" w:color="C8CCD2"/>
            </w:tcBorders>
            <w:vAlign w:val="center"/>
          </w:tcPr>
          <w:p>
            <w:r/>
            <w:r>
              <w:rPr>
                <w:rFonts w:ascii="Calibri" w:hAnsi="Calibri"/>
                <w:b/>
                <w:color w:val="FFFFFF"/>
                <w:sz w:val="19"/>
              </w:rPr>
              <w:t>Upside</w:t>
            </w:r>
          </w:p>
        </w:tc>
        <w:tc>
          <w:tcPr>
            <w:tcW w:type="dxa" w:w="1871"/>
            <w:shd w:val="clear" w:color="auto" w:fill="1F3A5F"/>
            <w:tcBorders>
              <w:top w:val="single" w:sz="4" w:color="C8CCD2"/>
              <w:left w:val="single" w:sz="4" w:color="C8CCD2"/>
              <w:bottom w:val="single" w:sz="4" w:color="C8CCD2"/>
              <w:right w:val="single" w:sz="4" w:color="C8CCD2"/>
            </w:tcBorders>
            <w:vAlign w:val="center"/>
          </w:tcPr>
          <w:p>
            <w:r/>
            <w:r>
              <w:rPr>
                <w:rFonts w:ascii="Calibri" w:hAnsi="Calibri"/>
                <w:b/>
                <w:color w:val="FFFFFF"/>
                <w:sz w:val="19"/>
              </w:rPr>
              <w:t>Downside</w:t>
            </w:r>
          </w:p>
        </w:tc>
      </w:tr>
      <w:tr>
        <w:tc>
          <w:tcPr>
            <w:tcW w:type="dxa" w:w="3969"/>
            <w:tcBorders>
              <w:top w:val="single" w:sz="4" w:color="C8CCD2"/>
              <w:left w:val="single" w:sz="4" w:color="C8CCD2"/>
              <w:bottom w:val="single" w:sz="4" w:color="C8CCD2"/>
              <w:right w:val="single" w:sz="4" w:color="C8CCD2"/>
            </w:tcBorders>
            <w:vAlign w:val="center"/>
          </w:tcPr>
          <w:p>
            <w:r/>
            <w:r>
              <w:rPr>
                <w:rFonts w:ascii="Calibri" w:hAnsi="Calibri"/>
                <w:color w:val="2A2A2A"/>
                <w:sz w:val="19"/>
              </w:rPr>
              <w:t>Total invested equity (NOKm)</w:t>
            </w:r>
          </w:p>
        </w:tc>
        <w:tc>
          <w:tcPr>
            <w:tcW w:type="dxa" w:w="1871"/>
            <w:tcBorders>
              <w:top w:val="single" w:sz="4" w:color="C8CCD2"/>
              <w:left w:val="single" w:sz="4" w:color="C8CCD2"/>
              <w:bottom w:val="single" w:sz="4" w:color="C8CCD2"/>
              <w:right w:val="single" w:sz="4" w:color="C8CCD2"/>
            </w:tcBorders>
            <w:vAlign w:val="center"/>
          </w:tcPr>
          <w:p>
            <w:r/>
            <w:r>
              <w:rPr>
                <w:rFonts w:ascii="Calibri" w:hAnsi="Calibri"/>
                <w:color w:val="2A2A2A"/>
                <w:sz w:val="19"/>
              </w:rPr>
              <w:t>880</w:t>
            </w:r>
          </w:p>
        </w:tc>
        <w:tc>
          <w:tcPr>
            <w:tcW w:type="dxa" w:w="1871"/>
            <w:tcBorders>
              <w:top w:val="single" w:sz="4" w:color="C8CCD2"/>
              <w:left w:val="single" w:sz="4" w:color="C8CCD2"/>
              <w:bottom w:val="single" w:sz="4" w:color="C8CCD2"/>
              <w:right w:val="single" w:sz="4" w:color="C8CCD2"/>
            </w:tcBorders>
            <w:vAlign w:val="center"/>
          </w:tcPr>
          <w:p>
            <w:r/>
            <w:r>
              <w:rPr>
                <w:rFonts w:ascii="Calibri" w:hAnsi="Calibri"/>
                <w:color w:val="2A2A2A"/>
                <w:sz w:val="19"/>
              </w:rPr>
              <w:t>1,250</w:t>
            </w:r>
          </w:p>
        </w:tc>
        <w:tc>
          <w:tcPr>
            <w:tcW w:type="dxa" w:w="1871"/>
            <w:tcBorders>
              <w:top w:val="single" w:sz="4" w:color="C8CCD2"/>
              <w:left w:val="single" w:sz="4" w:color="C8CCD2"/>
              <w:bottom w:val="single" w:sz="4" w:color="C8CCD2"/>
              <w:right w:val="single" w:sz="4" w:color="C8CCD2"/>
            </w:tcBorders>
            <w:vAlign w:val="center"/>
          </w:tcPr>
          <w:p>
            <w:r/>
            <w:r>
              <w:rPr>
                <w:rFonts w:ascii="Calibri" w:hAnsi="Calibri"/>
                <w:color w:val="2A2A2A"/>
                <w:sz w:val="19"/>
              </w:rPr>
              <w:t>750</w:t>
            </w:r>
          </w:p>
        </w:tc>
      </w:tr>
      <w:tr>
        <w:tc>
          <w:tcPr>
            <w:tcW w:type="dxa" w:w="3969"/>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Y5 platform EBITDA (NOKm)</w:t>
            </w:r>
          </w:p>
        </w:tc>
        <w:tc>
          <w:tcPr>
            <w:tcW w:type="dxa" w:w="1871"/>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253</w:t>
            </w:r>
          </w:p>
        </w:tc>
        <w:tc>
          <w:tcPr>
            <w:tcW w:type="dxa" w:w="1871"/>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375</w:t>
            </w:r>
          </w:p>
        </w:tc>
        <w:tc>
          <w:tcPr>
            <w:tcW w:type="dxa" w:w="1871"/>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140</w:t>
            </w:r>
          </w:p>
        </w:tc>
      </w:tr>
      <w:tr>
        <w:tc>
          <w:tcPr>
            <w:tcW w:type="dxa" w:w="3969"/>
            <w:tcBorders>
              <w:top w:val="single" w:sz="4" w:color="C8CCD2"/>
              <w:left w:val="single" w:sz="4" w:color="C8CCD2"/>
              <w:bottom w:val="single" w:sz="4" w:color="C8CCD2"/>
              <w:right w:val="single" w:sz="4" w:color="C8CCD2"/>
            </w:tcBorders>
            <w:vAlign w:val="center"/>
          </w:tcPr>
          <w:p>
            <w:r/>
            <w:r>
              <w:rPr>
                <w:rFonts w:ascii="Calibri" w:hAnsi="Calibri"/>
                <w:color w:val="2A2A2A"/>
                <w:sz w:val="19"/>
              </w:rPr>
              <w:t>Exit multiple</w:t>
            </w:r>
          </w:p>
        </w:tc>
        <w:tc>
          <w:tcPr>
            <w:tcW w:type="dxa" w:w="1871"/>
            <w:tcBorders>
              <w:top w:val="single" w:sz="4" w:color="C8CCD2"/>
              <w:left w:val="single" w:sz="4" w:color="C8CCD2"/>
              <w:bottom w:val="single" w:sz="4" w:color="C8CCD2"/>
              <w:right w:val="single" w:sz="4" w:color="C8CCD2"/>
            </w:tcBorders>
            <w:vAlign w:val="center"/>
          </w:tcPr>
          <w:p>
            <w:r/>
            <w:r>
              <w:rPr>
                <w:rFonts w:ascii="Calibri" w:hAnsi="Calibri"/>
                <w:color w:val="2A2A2A"/>
                <w:sz w:val="19"/>
              </w:rPr>
              <w:t>11.5x</w:t>
            </w:r>
          </w:p>
        </w:tc>
        <w:tc>
          <w:tcPr>
            <w:tcW w:type="dxa" w:w="1871"/>
            <w:tcBorders>
              <w:top w:val="single" w:sz="4" w:color="C8CCD2"/>
              <w:left w:val="single" w:sz="4" w:color="C8CCD2"/>
              <w:bottom w:val="single" w:sz="4" w:color="C8CCD2"/>
              <w:right w:val="single" w:sz="4" w:color="C8CCD2"/>
            </w:tcBorders>
            <w:vAlign w:val="center"/>
          </w:tcPr>
          <w:p>
            <w:r/>
            <w:r>
              <w:rPr>
                <w:rFonts w:ascii="Calibri" w:hAnsi="Calibri"/>
                <w:color w:val="2A2A2A"/>
                <w:sz w:val="19"/>
              </w:rPr>
              <w:t>13.0x</w:t>
            </w:r>
          </w:p>
        </w:tc>
        <w:tc>
          <w:tcPr>
            <w:tcW w:type="dxa" w:w="1871"/>
            <w:tcBorders>
              <w:top w:val="single" w:sz="4" w:color="C8CCD2"/>
              <w:left w:val="single" w:sz="4" w:color="C8CCD2"/>
              <w:bottom w:val="single" w:sz="4" w:color="C8CCD2"/>
              <w:right w:val="single" w:sz="4" w:color="C8CCD2"/>
            </w:tcBorders>
            <w:vAlign w:val="center"/>
          </w:tcPr>
          <w:p>
            <w:r/>
            <w:r>
              <w:rPr>
                <w:rFonts w:ascii="Calibri" w:hAnsi="Calibri"/>
                <w:color w:val="2A2A2A"/>
                <w:sz w:val="19"/>
              </w:rPr>
              <w:t>9.5x</w:t>
            </w:r>
          </w:p>
        </w:tc>
      </w:tr>
      <w:tr>
        <w:tc>
          <w:tcPr>
            <w:tcW w:type="dxa" w:w="3969"/>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Exit EV (NOKm)</w:t>
            </w:r>
          </w:p>
        </w:tc>
        <w:tc>
          <w:tcPr>
            <w:tcW w:type="dxa" w:w="1871"/>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2,910</w:t>
            </w:r>
          </w:p>
        </w:tc>
        <w:tc>
          <w:tcPr>
            <w:tcW w:type="dxa" w:w="1871"/>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4,875</w:t>
            </w:r>
          </w:p>
        </w:tc>
        <w:tc>
          <w:tcPr>
            <w:tcW w:type="dxa" w:w="1871"/>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1,330</w:t>
            </w:r>
          </w:p>
        </w:tc>
      </w:tr>
      <w:tr>
        <w:tc>
          <w:tcPr>
            <w:tcW w:type="dxa" w:w="3969"/>
            <w:tcBorders>
              <w:top w:val="single" w:sz="4" w:color="C8CCD2"/>
              <w:left w:val="single" w:sz="4" w:color="C8CCD2"/>
              <w:bottom w:val="single" w:sz="4" w:color="C8CCD2"/>
              <w:right w:val="single" w:sz="4" w:color="C8CCD2"/>
            </w:tcBorders>
            <w:vAlign w:val="center"/>
          </w:tcPr>
          <w:p>
            <w:r/>
            <w:r>
              <w:rPr>
                <w:rFonts w:ascii="Calibri" w:hAnsi="Calibri"/>
                <w:color w:val="2A2A2A"/>
                <w:sz w:val="19"/>
              </w:rPr>
              <w:t>Gross MoM</w:t>
            </w:r>
          </w:p>
        </w:tc>
        <w:tc>
          <w:tcPr>
            <w:tcW w:type="dxa" w:w="1871"/>
            <w:tcBorders>
              <w:top w:val="single" w:sz="4" w:color="C8CCD2"/>
              <w:left w:val="single" w:sz="4" w:color="C8CCD2"/>
              <w:bottom w:val="single" w:sz="4" w:color="C8CCD2"/>
              <w:right w:val="single" w:sz="4" w:color="C8CCD2"/>
            </w:tcBorders>
            <w:vAlign w:val="center"/>
          </w:tcPr>
          <w:p>
            <w:r/>
            <w:r>
              <w:rPr>
                <w:rFonts w:ascii="Calibri" w:hAnsi="Calibri"/>
                <w:color w:val="2A2A2A"/>
                <w:sz w:val="19"/>
              </w:rPr>
              <w:t>2.5 - 2.8x</w:t>
            </w:r>
          </w:p>
        </w:tc>
        <w:tc>
          <w:tcPr>
            <w:tcW w:type="dxa" w:w="1871"/>
            <w:tcBorders>
              <w:top w:val="single" w:sz="4" w:color="C8CCD2"/>
              <w:left w:val="single" w:sz="4" w:color="C8CCD2"/>
              <w:bottom w:val="single" w:sz="4" w:color="C8CCD2"/>
              <w:right w:val="single" w:sz="4" w:color="C8CCD2"/>
            </w:tcBorders>
            <w:vAlign w:val="center"/>
          </w:tcPr>
          <w:p>
            <w:r/>
            <w:r>
              <w:rPr>
                <w:rFonts w:ascii="Calibri" w:hAnsi="Calibri"/>
                <w:color w:val="2A2A2A"/>
                <w:sz w:val="19"/>
              </w:rPr>
              <w:t>3.2 - 3.5x</w:t>
            </w:r>
          </w:p>
        </w:tc>
        <w:tc>
          <w:tcPr>
            <w:tcW w:type="dxa" w:w="1871"/>
            <w:tcBorders>
              <w:top w:val="single" w:sz="4" w:color="C8CCD2"/>
              <w:left w:val="single" w:sz="4" w:color="C8CCD2"/>
              <w:bottom w:val="single" w:sz="4" w:color="C8CCD2"/>
              <w:right w:val="single" w:sz="4" w:color="C8CCD2"/>
            </w:tcBorders>
            <w:vAlign w:val="center"/>
          </w:tcPr>
          <w:p>
            <w:r/>
            <w:r>
              <w:rPr>
                <w:rFonts w:ascii="Calibri" w:hAnsi="Calibri"/>
                <w:color w:val="2A2A2A"/>
                <w:sz w:val="19"/>
              </w:rPr>
              <w:t>1.5 - 1.8x</w:t>
            </w:r>
          </w:p>
        </w:tc>
      </w:tr>
      <w:tr>
        <w:tc>
          <w:tcPr>
            <w:tcW w:type="dxa" w:w="3969"/>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Gross IRR</w:t>
            </w:r>
          </w:p>
        </w:tc>
        <w:tc>
          <w:tcPr>
            <w:tcW w:type="dxa" w:w="1871"/>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22-25%</w:t>
            </w:r>
          </w:p>
        </w:tc>
        <w:tc>
          <w:tcPr>
            <w:tcW w:type="dxa" w:w="1871"/>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28-32%</w:t>
            </w:r>
          </w:p>
        </w:tc>
        <w:tc>
          <w:tcPr>
            <w:tcW w:type="dxa" w:w="1871"/>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8-12%</w:t>
            </w:r>
          </w:p>
        </w:tc>
      </w:tr>
    </w:tbl>
    <w:p>
      <w:pPr>
        <w:spacing w:after="0"/>
      </w:pPr>
    </w:p>
    <w:p>
      <w:pPr>
        <w:spacing w:before="240" w:after="60"/>
      </w:pPr>
      <w:r>
        <w:rPr>
          <w:rFonts w:ascii="Calibri" w:hAnsi="Calibri"/>
          <w:b/>
          <w:i w:val="0"/>
          <w:color w:val="1F3A5F"/>
          <w:sz w:val="28"/>
        </w:rPr>
        <w:t>4.  What We'd Need to Believe</w:t>
      </w:r>
    </w:p>
    <w:p>
      <w:pPr>
        <w:spacing w:before="0" w:after="80"/>
      </w:pPr>
      <w:r>
        <w:rPr>
          <w:rFonts w:ascii="Calibri" w:hAnsi="Calibri"/>
          <w:b w:val="0"/>
          <w:i w:val="0"/>
          <w:color w:val="2A2A2A"/>
          <w:sz w:val="21"/>
        </w:rPr>
        <w:t>Three load-bearing assumptions. Each is testable in the 12-week workplan in Section 7.</w:t>
      </w:r>
    </w:p>
    <w:p>
      <w:pPr>
        <w:pStyle w:val="ListBullet"/>
        <w:spacing w:after="40"/>
        <w:ind w:left="312"/>
      </w:pPr>
      <w:r>
        <w:rPr>
          <w:rFonts w:ascii="Calibri" w:hAnsi="Calibri"/>
          <w:color w:val="2A2A2A"/>
          <w:sz w:val="21"/>
        </w:rPr>
        <w:t>Anchor access at 8.5-9.5x. Founder-led Norwegian janitor businesses are not auction-trained; many will transact in a managed bilateral process with the right relationship, particularly during PHM's sell-side distraction window. If the anchor only clears at 10-11x, returns compress from 2.7x to 2.2x MoM and the platform-slot bar is missed.</w:t>
      </w:r>
    </w:p>
    <w:p>
      <w:pPr>
        <w:pStyle w:val="ListBullet"/>
        <w:spacing w:after="40"/>
        <w:ind w:left="312"/>
      </w:pPr>
      <w:r>
        <w:rPr>
          <w:rFonts w:ascii="Calibri" w:hAnsi="Calibri"/>
          <w:color w:val="2A2A2A"/>
          <w:sz w:val="21"/>
        </w:rPr>
        <w:t>Bolt-on multiples hold at 5-6x blended. PHM's bolt-on pricing discipline at 4-6x for sub-NOK 100m targets has been visible across ~50 disclosed Norwegian acquisitions. Two consolidators do not necessarily inflate this band; PHM's and our cost-of-equity discipline anchor it. The risk is a third entrant (international FM major, strategic) coming in with synergy logic that pushes multiples to 7-8x.</w:t>
      </w:r>
    </w:p>
    <w:p>
      <w:pPr>
        <w:pStyle w:val="ListBullet"/>
        <w:spacing w:after="40"/>
        <w:ind w:left="312"/>
      </w:pPr>
      <w:r>
        <w:rPr>
          <w:rFonts w:ascii="Calibri" w:hAnsi="Calibri"/>
          <w:color w:val="2A2A2A"/>
          <w:sz w:val="21"/>
        </w:rPr>
        <w:t>Margin expansion 280-300 bps over five years. PHM's margin trajectory (estimated 6-7% in 2017 to 10-12% today) demonstrates the lever set works. Our anchor starts at 8-9%; getting to 11-12% requires route density across two-to-three regional clusters, full procurement consolidation, and back-office integration. This is mechanical, not speculative.</w:t>
      </w:r>
    </w:p>
    <w:p>
      <w:pPr>
        <w:spacing w:before="240" w:after="60"/>
      </w:pPr>
      <w:r>
        <w:rPr>
          <w:rFonts w:ascii="Calibri" w:hAnsi="Calibri"/>
          <w:b/>
          <w:i w:val="0"/>
          <w:color w:val="1F3A5F"/>
          <w:sz w:val="28"/>
        </w:rPr>
        <w:t>5.  The Anchor Question</w:t>
      </w:r>
    </w:p>
    <w:p>
      <w:pPr>
        <w:spacing w:before="0" w:after="80"/>
      </w:pPr>
      <w:r>
        <w:rPr>
          <w:rFonts w:ascii="Calibri" w:hAnsi="Calibri"/>
          <w:b w:val="0"/>
          <w:i w:val="0"/>
          <w:color w:val="2A2A2A"/>
          <w:sz w:val="21"/>
        </w:rPr>
        <w:t>Three candidates. We have a clear preference and a clear backup; the third is a constructive option only if anchor #1 or #2 is structurally unavailable.</w:t>
      </w:r>
    </w:p>
    <w:tbl>
      <w:tblPr>
        <w:tblW w:type="auto" w:w="0"/>
        <w:tblLayout w:type="fixed"/>
        <w:tblLook w:firstColumn="1" w:firstRow="1" w:lastColumn="0" w:lastRow="0" w:noHBand="0" w:noVBand="1" w:val="04A0"/>
      </w:tblPr>
      <w:tblGrid>
        <w:gridCol w:w="2493"/>
        <w:gridCol w:w="2493"/>
        <w:gridCol w:w="2493"/>
        <w:gridCol w:w="2493"/>
      </w:tblGrid>
      <w:tr>
        <w:tc>
          <w:tcPr>
            <w:tcW w:type="dxa" w:w="2381"/>
            <w:shd w:val="clear" w:color="auto" w:fill="1F3A5F"/>
            <w:tcBorders>
              <w:top w:val="single" w:sz="4" w:color="C8CCD2"/>
              <w:left w:val="single" w:sz="4" w:color="C8CCD2"/>
              <w:bottom w:val="single" w:sz="4" w:color="C8CCD2"/>
              <w:right w:val="single" w:sz="4" w:color="C8CCD2"/>
            </w:tcBorders>
            <w:vAlign w:val="center"/>
          </w:tcPr>
          <w:p>
            <w:r/>
            <w:r>
              <w:rPr>
                <w:rFonts w:ascii="Calibri" w:hAnsi="Calibri"/>
                <w:b/>
                <w:color w:val="FFFFFF"/>
                <w:sz w:val="19"/>
              </w:rPr>
              <w:t>Candidate</w:t>
            </w:r>
          </w:p>
        </w:tc>
        <w:tc>
          <w:tcPr>
            <w:tcW w:type="dxa" w:w="1020"/>
            <w:shd w:val="clear" w:color="auto" w:fill="1F3A5F"/>
            <w:tcBorders>
              <w:top w:val="single" w:sz="4" w:color="C8CCD2"/>
              <w:left w:val="single" w:sz="4" w:color="C8CCD2"/>
              <w:bottom w:val="single" w:sz="4" w:color="C8CCD2"/>
              <w:right w:val="single" w:sz="4" w:color="C8CCD2"/>
            </w:tcBorders>
            <w:vAlign w:val="center"/>
          </w:tcPr>
          <w:p>
            <w:r/>
            <w:r>
              <w:rPr>
                <w:rFonts w:ascii="Calibri" w:hAnsi="Calibri"/>
                <w:b/>
                <w:color w:val="FFFFFF"/>
                <w:sz w:val="19"/>
              </w:rPr>
              <w:t>Rev FY24E</w:t>
            </w:r>
          </w:p>
        </w:tc>
        <w:tc>
          <w:tcPr>
            <w:tcW w:type="dxa" w:w="964"/>
            <w:shd w:val="clear" w:color="auto" w:fill="1F3A5F"/>
            <w:tcBorders>
              <w:top w:val="single" w:sz="4" w:color="C8CCD2"/>
              <w:left w:val="single" w:sz="4" w:color="C8CCD2"/>
              <w:bottom w:val="single" w:sz="4" w:color="C8CCD2"/>
              <w:right w:val="single" w:sz="4" w:color="C8CCD2"/>
            </w:tcBorders>
            <w:vAlign w:val="center"/>
          </w:tcPr>
          <w:p>
            <w:r/>
            <w:r>
              <w:rPr>
                <w:rFonts w:ascii="Calibri" w:hAnsi="Calibri"/>
                <w:b/>
                <w:color w:val="FFFFFF"/>
                <w:sz w:val="19"/>
              </w:rPr>
              <w:t>Owner</w:t>
            </w:r>
          </w:p>
        </w:tc>
        <w:tc>
          <w:tcPr>
            <w:tcW w:type="dxa" w:w="5272"/>
            <w:shd w:val="clear" w:color="auto" w:fill="1F3A5F"/>
            <w:tcBorders>
              <w:top w:val="single" w:sz="4" w:color="C8CCD2"/>
              <w:left w:val="single" w:sz="4" w:color="C8CCD2"/>
              <w:bottom w:val="single" w:sz="4" w:color="C8CCD2"/>
              <w:right w:val="single" w:sz="4" w:color="C8CCD2"/>
            </w:tcBorders>
            <w:vAlign w:val="center"/>
          </w:tcPr>
          <w:p>
            <w:r/>
            <w:r>
              <w:rPr>
                <w:rFonts w:ascii="Calibri" w:hAnsi="Calibri"/>
                <w:b/>
                <w:color w:val="FFFFFF"/>
                <w:sz w:val="19"/>
              </w:rPr>
              <w:t>Read</w:t>
            </w:r>
          </w:p>
        </w:tc>
      </w:tr>
      <w:tr>
        <w:tc>
          <w:tcPr>
            <w:tcW w:type="dxa" w:w="2381"/>
            <w:tcBorders>
              <w:top w:val="single" w:sz="4" w:color="C8CCD2"/>
              <w:left w:val="single" w:sz="4" w:color="C8CCD2"/>
              <w:bottom w:val="single" w:sz="4" w:color="C8CCD2"/>
              <w:right w:val="single" w:sz="4" w:color="C8CCD2"/>
            </w:tcBorders>
            <w:vAlign w:val="center"/>
          </w:tcPr>
          <w:p>
            <w:r/>
            <w:r>
              <w:rPr>
                <w:rFonts w:ascii="Calibri" w:hAnsi="Calibri"/>
                <w:color w:val="2A2A2A"/>
                <w:sz w:val="19"/>
              </w:rPr>
              <w:t>Din Vaktmester AS (Trondheim) [preferred]</w:t>
            </w:r>
          </w:p>
        </w:tc>
        <w:tc>
          <w:tcPr>
            <w:tcW w:type="dxa" w:w="1020"/>
            <w:tcBorders>
              <w:top w:val="single" w:sz="4" w:color="C8CCD2"/>
              <w:left w:val="single" w:sz="4" w:color="C8CCD2"/>
              <w:bottom w:val="single" w:sz="4" w:color="C8CCD2"/>
              <w:right w:val="single" w:sz="4" w:color="C8CCD2"/>
            </w:tcBorders>
            <w:vAlign w:val="center"/>
          </w:tcPr>
          <w:p>
            <w:r/>
            <w:r>
              <w:rPr>
                <w:rFonts w:ascii="Calibri" w:hAnsi="Calibri"/>
                <w:color w:val="2A2A2A"/>
                <w:sz w:val="19"/>
              </w:rPr>
              <w:t>NOK 250-350m</w:t>
            </w:r>
          </w:p>
        </w:tc>
        <w:tc>
          <w:tcPr>
            <w:tcW w:type="dxa" w:w="964"/>
            <w:tcBorders>
              <w:top w:val="single" w:sz="4" w:color="C8CCD2"/>
              <w:left w:val="single" w:sz="4" w:color="C8CCD2"/>
              <w:bottom w:val="single" w:sz="4" w:color="C8CCD2"/>
              <w:right w:val="single" w:sz="4" w:color="C8CCD2"/>
            </w:tcBorders>
            <w:vAlign w:val="center"/>
          </w:tcPr>
          <w:p>
            <w:r/>
            <w:r>
              <w:rPr>
                <w:rFonts w:ascii="Calibri" w:hAnsi="Calibri"/>
                <w:color w:val="2A2A2A"/>
                <w:sz w:val="19"/>
              </w:rPr>
              <w:t>Founder</w:t>
            </w:r>
          </w:p>
        </w:tc>
        <w:tc>
          <w:tcPr>
            <w:tcW w:type="dxa" w:w="5272"/>
            <w:tcBorders>
              <w:top w:val="single" w:sz="4" w:color="C8CCD2"/>
              <w:left w:val="single" w:sz="4" w:color="C8CCD2"/>
              <w:bottom w:val="single" w:sz="4" w:color="C8CCD2"/>
              <w:right w:val="single" w:sz="4" w:color="C8CCD2"/>
            </w:tcBorders>
            <w:vAlign w:val="center"/>
          </w:tcPr>
          <w:p>
            <w:r/>
            <w:r>
              <w:rPr>
                <w:rFonts w:ascii="Calibri" w:hAnsi="Calibri"/>
                <w:color w:val="2A2A2A"/>
                <w:sz w:val="19"/>
              </w:rPr>
              <w:t>Mid-Norway base PHM has not built; pure janitor culture; smaller cheque (EV NOK 200-300m at 8.5-9.5x). Asymmetric thesis: high probability of bilateral process, lower competing-bidder intensity, allows opportunistic mid-sized bolt-on in Y1-Y2. Risk: smaller starting EBITDA means longer runway to platform scale; mgmt integration capability is the open question</w:t>
            </w:r>
          </w:p>
        </w:tc>
      </w:tr>
      <w:tr>
        <w:tc>
          <w:tcPr>
            <w:tcW w:type="dxa" w:w="2381"/>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Vaktmesterkompaniet AS (Oslo) [backup]</w:t>
            </w:r>
          </w:p>
        </w:tc>
        <w:tc>
          <w:tcPr>
            <w:tcW w:type="dxa" w:w="1020"/>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NOK ~1,000m</w:t>
            </w:r>
          </w:p>
        </w:tc>
        <w:tc>
          <w:tcPr>
            <w:tcW w:type="dxa" w:w="964"/>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Founder</w:t>
            </w:r>
          </w:p>
        </w:tc>
        <w:tc>
          <w:tcPr>
            <w:tcW w:type="dxa" w:w="5272"/>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Closest PHM analog; scale advantage at entry; ~10 small bolt-ons closed. Risk: PHM is presumed in dialogue given the obvious fit; likely a multi-bidder process at 9-11x. If we land it, we have a Tier-1 platform on day one; if we lose, we have signalled our interest and trained the market</w:t>
            </w:r>
          </w:p>
        </w:tc>
      </w:tr>
      <w:tr>
        <w:tc>
          <w:tcPr>
            <w:tcW w:type="dxa" w:w="2381"/>
            <w:tcBorders>
              <w:top w:val="single" w:sz="4" w:color="C8CCD2"/>
              <w:left w:val="single" w:sz="4" w:color="C8CCD2"/>
              <w:bottom w:val="single" w:sz="4" w:color="C8CCD2"/>
              <w:right w:val="single" w:sz="4" w:color="C8CCD2"/>
            </w:tcBorders>
            <w:vAlign w:val="center"/>
          </w:tcPr>
          <w:p>
            <w:r/>
            <w:r>
              <w:rPr>
                <w:rFonts w:ascii="Calibri" w:hAnsi="Calibri"/>
                <w:color w:val="2A2A2A"/>
                <w:sz w:val="19"/>
              </w:rPr>
              <w:t>Insider Group AS (Høvik) [contingent]</w:t>
            </w:r>
          </w:p>
        </w:tc>
        <w:tc>
          <w:tcPr>
            <w:tcW w:type="dxa" w:w="1020"/>
            <w:tcBorders>
              <w:top w:val="single" w:sz="4" w:color="C8CCD2"/>
              <w:left w:val="single" w:sz="4" w:color="C8CCD2"/>
              <w:bottom w:val="single" w:sz="4" w:color="C8CCD2"/>
              <w:right w:val="single" w:sz="4" w:color="C8CCD2"/>
            </w:tcBorders>
            <w:vAlign w:val="center"/>
          </w:tcPr>
          <w:p>
            <w:r/>
            <w:r>
              <w:rPr>
                <w:rFonts w:ascii="Calibri" w:hAnsi="Calibri"/>
                <w:color w:val="2A2A2A"/>
                <w:sz w:val="19"/>
              </w:rPr>
              <w:t>NOK 1.0-1.1bn</w:t>
            </w:r>
          </w:p>
        </w:tc>
        <w:tc>
          <w:tcPr>
            <w:tcW w:type="dxa" w:w="964"/>
            <w:tcBorders>
              <w:top w:val="single" w:sz="4" w:color="C8CCD2"/>
              <w:left w:val="single" w:sz="4" w:color="C8CCD2"/>
              <w:bottom w:val="single" w:sz="4" w:color="C8CCD2"/>
              <w:right w:val="single" w:sz="4" w:color="C8CCD2"/>
            </w:tcBorders>
            <w:vAlign w:val="center"/>
          </w:tcPr>
          <w:p>
            <w:r/>
            <w:r>
              <w:rPr>
                <w:rFonts w:ascii="Calibri" w:hAnsi="Calibri"/>
                <w:color w:val="2A2A2A"/>
                <w:sz w:val="19"/>
              </w:rPr>
              <w:t>Family</w:t>
            </w:r>
          </w:p>
        </w:tc>
        <w:tc>
          <w:tcPr>
            <w:tcW w:type="dxa" w:w="5272"/>
            <w:tcBorders>
              <w:top w:val="single" w:sz="4" w:color="C8CCD2"/>
              <w:left w:val="single" w:sz="4" w:color="C8CCD2"/>
              <w:bottom w:val="single" w:sz="4" w:color="C8CCD2"/>
              <w:right w:val="single" w:sz="4" w:color="C8CCD2"/>
            </w:tcBorders>
            <w:vAlign w:val="center"/>
          </w:tcPr>
          <w:p>
            <w:r/>
            <w:r>
              <w:rPr>
                <w:rFonts w:ascii="Calibri" w:hAnsi="Calibri"/>
                <w:color w:val="2A2A2A"/>
                <w:sz w:val="19"/>
              </w:rPr>
              <w:t>Mitie Norway carve-out (2024) is genuine M&amp;A capability. Drawback: post-Mitie mix is &gt;50% cleaning rather than property maintenance. The centre of gravity is wrong for our thesis. Only worth pursuing if both anchor #1 and #2 are unavailable and we restate the thesis as cleaning + janitor platform</w:t>
            </w:r>
          </w:p>
        </w:tc>
      </w:tr>
    </w:tbl>
    <w:p>
      <w:pPr>
        <w:spacing w:after="0"/>
      </w:pPr>
    </w:p>
    <w:p>
      <w:pPr>
        <w:spacing w:before="0" w:after="80"/>
      </w:pPr>
      <w:r>
        <w:rPr>
          <w:rFonts w:ascii="Calibri" w:hAnsi="Calibri"/>
          <w:b w:val="0"/>
          <w:i w:val="0"/>
          <w:color w:val="2A2A2A"/>
          <w:sz w:val="21"/>
        </w:rPr>
        <w:t>Preferred path is Din Vaktmester for two reasons. First, the bilateral process is more likely; founder-led mid-Norway businesses do not typically run investment-banker-led auctions. Second, the platform we build off Din Vaktmester is structurally non-overlapping with PHM's Oslo / Akershus residential core, which makes the 'why us' narrative defensible at exit. Vaktmesterkompaniet is the high-quality fallback if Din Vaktmester is not sale-ready.</w:t>
      </w:r>
    </w:p>
    <w:p>
      <w:pPr>
        <w:spacing w:before="240" w:after="60"/>
      </w:pPr>
      <w:r>
        <w:rPr>
          <w:rFonts w:ascii="Calibri" w:hAnsi="Calibri"/>
          <w:b/>
          <w:i w:val="0"/>
          <w:color w:val="1F3A5F"/>
          <w:sz w:val="28"/>
        </w:rPr>
        <w:t>6.  Risks</w:t>
      </w:r>
    </w:p>
    <w:tbl>
      <w:tblPr>
        <w:tblW w:type="auto" w:w="0"/>
        <w:tblLayout w:type="fixed"/>
        <w:tblLook w:firstColumn="1" w:firstRow="1" w:lastColumn="0" w:lastRow="0" w:noHBand="0" w:noVBand="1" w:val="04A0"/>
      </w:tblPr>
      <w:tblGrid>
        <w:gridCol w:w="3324"/>
        <w:gridCol w:w="3324"/>
        <w:gridCol w:w="3324"/>
      </w:tblGrid>
      <w:tr>
        <w:tc>
          <w:tcPr>
            <w:tcW w:type="dxa" w:w="2551"/>
            <w:shd w:val="clear" w:color="auto" w:fill="1F3A5F"/>
            <w:tcBorders>
              <w:top w:val="single" w:sz="4" w:color="C8CCD2"/>
              <w:left w:val="single" w:sz="4" w:color="C8CCD2"/>
              <w:bottom w:val="single" w:sz="4" w:color="C8CCD2"/>
              <w:right w:val="single" w:sz="4" w:color="C8CCD2"/>
            </w:tcBorders>
            <w:vAlign w:val="center"/>
          </w:tcPr>
          <w:p>
            <w:r/>
            <w:r>
              <w:rPr>
                <w:rFonts w:ascii="Calibri" w:hAnsi="Calibri"/>
                <w:b/>
                <w:color w:val="FFFFFF"/>
                <w:sz w:val="19"/>
              </w:rPr>
              <w:t>Risk</w:t>
            </w:r>
          </w:p>
        </w:tc>
        <w:tc>
          <w:tcPr>
            <w:tcW w:type="dxa" w:w="5669"/>
            <w:shd w:val="clear" w:color="auto" w:fill="1F3A5F"/>
            <w:tcBorders>
              <w:top w:val="single" w:sz="4" w:color="C8CCD2"/>
              <w:left w:val="single" w:sz="4" w:color="C8CCD2"/>
              <w:bottom w:val="single" w:sz="4" w:color="C8CCD2"/>
              <w:right w:val="single" w:sz="4" w:color="C8CCD2"/>
            </w:tcBorders>
            <w:vAlign w:val="center"/>
          </w:tcPr>
          <w:p>
            <w:r/>
            <w:r>
              <w:rPr>
                <w:rFonts w:ascii="Calibri" w:hAnsi="Calibri"/>
                <w:b/>
                <w:color w:val="FFFFFF"/>
                <w:sz w:val="19"/>
              </w:rPr>
              <w:t>Real-world manifestation</w:t>
            </w:r>
          </w:p>
        </w:tc>
        <w:tc>
          <w:tcPr>
            <w:tcW w:type="dxa" w:w="1417"/>
            <w:shd w:val="clear" w:color="auto" w:fill="1F3A5F"/>
            <w:tcBorders>
              <w:top w:val="single" w:sz="4" w:color="C8CCD2"/>
              <w:left w:val="single" w:sz="4" w:color="C8CCD2"/>
              <w:bottom w:val="single" w:sz="4" w:color="C8CCD2"/>
              <w:right w:val="single" w:sz="4" w:color="C8CCD2"/>
            </w:tcBorders>
            <w:vAlign w:val="center"/>
          </w:tcPr>
          <w:p>
            <w:r/>
            <w:r>
              <w:rPr>
                <w:rFonts w:ascii="Calibri" w:hAnsi="Calibri"/>
                <w:b/>
                <w:color w:val="FFFFFF"/>
                <w:sz w:val="19"/>
              </w:rPr>
              <w:t>Severity</w:t>
            </w:r>
          </w:p>
        </w:tc>
      </w:tr>
      <w:tr>
        <w:tc>
          <w:tcPr>
            <w:tcW w:type="dxa" w:w="2551"/>
            <w:tcBorders>
              <w:top w:val="single" w:sz="4" w:color="C8CCD2"/>
              <w:left w:val="single" w:sz="4" w:color="C8CCD2"/>
              <w:bottom w:val="single" w:sz="4" w:color="C8CCD2"/>
              <w:right w:val="single" w:sz="4" w:color="C8CCD2"/>
            </w:tcBorders>
            <w:vAlign w:val="center"/>
          </w:tcPr>
          <w:p>
            <w:r/>
            <w:r>
              <w:rPr>
                <w:rFonts w:ascii="Calibri" w:hAnsi="Calibri"/>
                <w:color w:val="2A2A2A"/>
                <w:sz w:val="19"/>
              </w:rPr>
              <w:t>PHM defends its Norwegian footprint pre-exit</w:t>
            </w:r>
          </w:p>
        </w:tc>
        <w:tc>
          <w:tcPr>
            <w:tcW w:type="dxa" w:w="5669"/>
            <w:tcBorders>
              <w:top w:val="single" w:sz="4" w:color="C8CCD2"/>
              <w:left w:val="single" w:sz="4" w:color="C8CCD2"/>
              <w:bottom w:val="single" w:sz="4" w:color="C8CCD2"/>
              <w:right w:val="single" w:sz="4" w:color="C8CCD2"/>
            </w:tcBorders>
            <w:vAlign w:val="center"/>
          </w:tcPr>
          <w:p>
            <w:r/>
            <w:r>
              <w:rPr>
                <w:rFonts w:ascii="Calibri" w:hAnsi="Calibri"/>
                <w:color w:val="2A2A2A"/>
                <w:sz w:val="19"/>
              </w:rPr>
              <w:t>Norvestor closes 5-10 Norwegian bolt-ons in 2026 to fatten the EBITDA being sold; our pipeline thins, multiples rise on contested targets. Mitigation: focus on Mid-Norway / Vestland targets PHM is less aggressive on; accept lower hit rate on Oslo</w:t>
            </w:r>
          </w:p>
        </w:tc>
        <w:tc>
          <w:tcPr>
            <w:tcW w:type="dxa" w:w="1417"/>
            <w:tcBorders>
              <w:top w:val="single" w:sz="4" w:color="C8CCD2"/>
              <w:left w:val="single" w:sz="4" w:color="C8CCD2"/>
              <w:bottom w:val="single" w:sz="4" w:color="C8CCD2"/>
              <w:right w:val="single" w:sz="4" w:color="C8CCD2"/>
            </w:tcBorders>
            <w:vAlign w:val="center"/>
          </w:tcPr>
          <w:p>
            <w:r/>
            <w:r>
              <w:rPr>
                <w:rFonts w:ascii="Calibri" w:hAnsi="Calibri"/>
                <w:color w:val="2A2A2A"/>
                <w:sz w:val="19"/>
              </w:rPr>
              <w:t>Medium-High</w:t>
            </w:r>
          </w:p>
        </w:tc>
      </w:tr>
      <w:tr>
        <w:tc>
          <w:tcPr>
            <w:tcW w:type="dxa" w:w="2551"/>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Anchor pricing breaks above 9.5x</w:t>
            </w:r>
          </w:p>
        </w:tc>
        <w:tc>
          <w:tcPr>
            <w:tcW w:type="dxa" w:w="5669"/>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Vaktmesterkompaniet runs a Goldman / Carnegie / DC Advisory process; bidding clears at 10.5-11x. Our model breaks. Mitigation: walk - this is the single most binary test in the 12-week workplan</w:t>
            </w:r>
          </w:p>
        </w:tc>
        <w:tc>
          <w:tcPr>
            <w:tcW w:type="dxa" w:w="1417"/>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High</w:t>
            </w:r>
          </w:p>
        </w:tc>
      </w:tr>
      <w:tr>
        <w:tc>
          <w:tcPr>
            <w:tcW w:type="dxa" w:w="2551"/>
            <w:tcBorders>
              <w:top w:val="single" w:sz="4" w:color="C8CCD2"/>
              <w:left w:val="single" w:sz="4" w:color="C8CCD2"/>
              <w:bottom w:val="single" w:sz="4" w:color="C8CCD2"/>
              <w:right w:val="single" w:sz="4" w:color="C8CCD2"/>
            </w:tcBorders>
            <w:vAlign w:val="center"/>
          </w:tcPr>
          <w:p>
            <w:r/>
            <w:r>
              <w:rPr>
                <w:rFonts w:ascii="Calibri" w:hAnsi="Calibri"/>
                <w:color w:val="2A2A2A"/>
                <w:sz w:val="19"/>
              </w:rPr>
              <w:t>PHM's new owner accelerates M&amp;A in 2027-28</w:t>
            </w:r>
          </w:p>
        </w:tc>
        <w:tc>
          <w:tcPr>
            <w:tcW w:type="dxa" w:w="5669"/>
            <w:tcBorders>
              <w:top w:val="single" w:sz="4" w:color="C8CCD2"/>
              <w:left w:val="single" w:sz="4" w:color="C8CCD2"/>
              <w:bottom w:val="single" w:sz="4" w:color="C8CCD2"/>
              <w:right w:val="single" w:sz="4" w:color="C8CCD2"/>
            </w:tcBorders>
            <w:vAlign w:val="center"/>
          </w:tcPr>
          <w:p>
            <w:r/>
            <w:r>
              <w:rPr>
                <w:rFonts w:ascii="Calibri" w:hAnsi="Calibri"/>
                <w:color w:val="2A2A2A"/>
                <w:sz w:val="19"/>
              </w:rPr>
              <w:t>Triton / EQT / Cinven sized successor brings more bolt-on capital. Our competitive position deteriorates over our hold. Mitigation: front-load M&amp;A in Y1-Y3 while PHM is in transition</w:t>
            </w:r>
          </w:p>
        </w:tc>
        <w:tc>
          <w:tcPr>
            <w:tcW w:type="dxa" w:w="1417"/>
            <w:tcBorders>
              <w:top w:val="single" w:sz="4" w:color="C8CCD2"/>
              <w:left w:val="single" w:sz="4" w:color="C8CCD2"/>
              <w:bottom w:val="single" w:sz="4" w:color="C8CCD2"/>
              <w:right w:val="single" w:sz="4" w:color="C8CCD2"/>
            </w:tcBorders>
            <w:vAlign w:val="center"/>
          </w:tcPr>
          <w:p>
            <w:r/>
            <w:r>
              <w:rPr>
                <w:rFonts w:ascii="Calibri" w:hAnsi="Calibri"/>
                <w:color w:val="2A2A2A"/>
                <w:sz w:val="19"/>
              </w:rPr>
              <w:t>Medium</w:t>
            </w:r>
          </w:p>
        </w:tc>
      </w:tr>
      <w:tr>
        <w:tc>
          <w:tcPr>
            <w:tcW w:type="dxa" w:w="2551"/>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Bolt-on supply migrates into auction process</w:t>
            </w:r>
          </w:p>
        </w:tc>
        <w:tc>
          <w:tcPr>
            <w:tcW w:type="dxa" w:w="5669"/>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Founders engage advisors who run multi-party processes; our 4-6x bolt-on discipline cannot hold. Mitigation: source proprietary; build named-target outreach with founders 12-18 months pre-process</w:t>
            </w:r>
          </w:p>
        </w:tc>
        <w:tc>
          <w:tcPr>
            <w:tcW w:type="dxa" w:w="1417"/>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Medium</w:t>
            </w:r>
          </w:p>
        </w:tc>
      </w:tr>
      <w:tr>
        <w:tc>
          <w:tcPr>
            <w:tcW w:type="dxa" w:w="2551"/>
            <w:tcBorders>
              <w:top w:val="single" w:sz="4" w:color="C8CCD2"/>
              <w:left w:val="single" w:sz="4" w:color="C8CCD2"/>
              <w:bottom w:val="single" w:sz="4" w:color="C8CCD2"/>
              <w:right w:val="single" w:sz="4" w:color="C8CCD2"/>
            </w:tcBorders>
            <w:vAlign w:val="center"/>
          </w:tcPr>
          <w:p>
            <w:r/>
            <w:r>
              <w:rPr>
                <w:rFonts w:ascii="Calibri" w:hAnsi="Calibri"/>
                <w:color w:val="2A2A2A"/>
                <w:sz w:val="19"/>
              </w:rPr>
              <w:t>Allmenngjøring / wage cost step-change</w:t>
            </w:r>
          </w:p>
        </w:tc>
        <w:tc>
          <w:tcPr>
            <w:tcW w:type="dxa" w:w="5669"/>
            <w:tcBorders>
              <w:top w:val="single" w:sz="4" w:color="C8CCD2"/>
              <w:left w:val="single" w:sz="4" w:color="C8CCD2"/>
              <w:bottom w:val="single" w:sz="4" w:color="C8CCD2"/>
              <w:right w:val="single" w:sz="4" w:color="C8CCD2"/>
            </w:tcBorders>
            <w:vAlign w:val="center"/>
          </w:tcPr>
          <w:p>
            <w:r/>
            <w:r>
              <w:rPr>
                <w:rFonts w:ascii="Calibri" w:hAnsi="Calibri"/>
                <w:color w:val="2A2A2A"/>
                <w:sz w:val="19"/>
              </w:rPr>
              <w:t>A new Renholdsoverenskomsten round delivers a step wage increase above price-index pass-through; sector EBITDA margin compresses 100-200 bps for 12-18 months. Symmetric across competitors but a one-off pain. Mitigation: contractual review at anchor; quarterly price re-baselining</w:t>
            </w:r>
          </w:p>
        </w:tc>
        <w:tc>
          <w:tcPr>
            <w:tcW w:type="dxa" w:w="1417"/>
            <w:tcBorders>
              <w:top w:val="single" w:sz="4" w:color="C8CCD2"/>
              <w:left w:val="single" w:sz="4" w:color="C8CCD2"/>
              <w:bottom w:val="single" w:sz="4" w:color="C8CCD2"/>
              <w:right w:val="single" w:sz="4" w:color="C8CCD2"/>
            </w:tcBorders>
            <w:vAlign w:val="center"/>
          </w:tcPr>
          <w:p>
            <w:r/>
            <w:r>
              <w:rPr>
                <w:rFonts w:ascii="Calibri" w:hAnsi="Calibri"/>
                <w:color w:val="2A2A2A"/>
                <w:sz w:val="19"/>
              </w:rPr>
              <w:t>Low-Medium</w:t>
            </w:r>
          </w:p>
        </w:tc>
      </w:tr>
      <w:tr>
        <w:tc>
          <w:tcPr>
            <w:tcW w:type="dxa" w:w="2551"/>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Customer concentration in OBOS / NBBL system</w:t>
            </w:r>
          </w:p>
        </w:tc>
        <w:tc>
          <w:tcPr>
            <w:tcW w:type="dxa" w:w="5669"/>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If anchor or large bolt-on is over-indexed to OBOS-managed properties, single-customer concentration may exceed 15%. Mitigation: validate concentration in DD and discount entry valuation accordingly</w:t>
            </w:r>
          </w:p>
        </w:tc>
        <w:tc>
          <w:tcPr>
            <w:tcW w:type="dxa" w:w="1417"/>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Low</w:t>
            </w:r>
          </w:p>
        </w:tc>
      </w:tr>
    </w:tbl>
    <w:p>
      <w:pPr>
        <w:spacing w:after="0"/>
      </w:pPr>
    </w:p>
    <w:p>
      <w:pPr>
        <w:spacing w:before="240" w:after="60"/>
      </w:pPr>
      <w:r>
        <w:rPr>
          <w:rFonts w:ascii="Calibri" w:hAnsi="Calibri"/>
          <w:b/>
          <w:i w:val="0"/>
          <w:color w:val="1F3A5F"/>
          <w:sz w:val="28"/>
        </w:rPr>
        <w:t>7.  Twelve-Week Workplan</w:t>
      </w:r>
    </w:p>
    <w:p>
      <w:pPr>
        <w:spacing w:before="0" w:after="80"/>
      </w:pPr>
      <w:r>
        <w:rPr>
          <w:rFonts w:ascii="Calibri" w:hAnsi="Calibri"/>
          <w:b w:val="0"/>
          <w:i w:val="0"/>
          <w:color w:val="2A2A2A"/>
          <w:sz w:val="21"/>
        </w:rPr>
        <w:t>Scope and budget the work as a focused origination sprint, not a sector diligence engagement. Senior originator + analyst part-time; external spend capped at NOK 800k. Three decision gates.</w:t>
      </w:r>
    </w:p>
    <w:tbl>
      <w:tblPr>
        <w:tblW w:type="auto" w:w="0"/>
        <w:tblLayout w:type="fixed"/>
        <w:tblLook w:firstColumn="1" w:firstRow="1" w:lastColumn="0" w:lastRow="0" w:noHBand="0" w:noVBand="1" w:val="04A0"/>
      </w:tblPr>
      <w:tblGrid>
        <w:gridCol w:w="2493"/>
        <w:gridCol w:w="2493"/>
        <w:gridCol w:w="2493"/>
        <w:gridCol w:w="2493"/>
      </w:tblGrid>
      <w:tr>
        <w:tc>
          <w:tcPr>
            <w:tcW w:type="dxa" w:w="680"/>
            <w:shd w:val="clear" w:color="auto" w:fill="1F3A5F"/>
            <w:tcBorders>
              <w:top w:val="single" w:sz="4" w:color="C8CCD2"/>
              <w:left w:val="single" w:sz="4" w:color="C8CCD2"/>
              <w:bottom w:val="single" w:sz="4" w:color="C8CCD2"/>
              <w:right w:val="single" w:sz="4" w:color="C8CCD2"/>
            </w:tcBorders>
            <w:vAlign w:val="center"/>
          </w:tcPr>
          <w:p>
            <w:r/>
            <w:r>
              <w:rPr>
                <w:rFonts w:ascii="Calibri" w:hAnsi="Calibri"/>
                <w:b/>
                <w:color w:val="FFFFFF"/>
                <w:sz w:val="19"/>
              </w:rPr>
              <w:t>Weeks</w:t>
            </w:r>
          </w:p>
        </w:tc>
        <w:tc>
          <w:tcPr>
            <w:tcW w:type="dxa" w:w="3572"/>
            <w:shd w:val="clear" w:color="auto" w:fill="1F3A5F"/>
            <w:tcBorders>
              <w:top w:val="single" w:sz="4" w:color="C8CCD2"/>
              <w:left w:val="single" w:sz="4" w:color="C8CCD2"/>
              <w:bottom w:val="single" w:sz="4" w:color="C8CCD2"/>
              <w:right w:val="single" w:sz="4" w:color="C8CCD2"/>
            </w:tcBorders>
            <w:vAlign w:val="center"/>
          </w:tcPr>
          <w:p>
            <w:r/>
            <w:r>
              <w:rPr>
                <w:rFonts w:ascii="Calibri" w:hAnsi="Calibri"/>
                <w:b/>
                <w:color w:val="FFFFFF"/>
                <w:sz w:val="19"/>
              </w:rPr>
              <w:t>Workstream</w:t>
            </w:r>
          </w:p>
        </w:tc>
        <w:tc>
          <w:tcPr>
            <w:tcW w:type="dxa" w:w="2551"/>
            <w:shd w:val="clear" w:color="auto" w:fill="1F3A5F"/>
            <w:tcBorders>
              <w:top w:val="single" w:sz="4" w:color="C8CCD2"/>
              <w:left w:val="single" w:sz="4" w:color="C8CCD2"/>
              <w:bottom w:val="single" w:sz="4" w:color="C8CCD2"/>
              <w:right w:val="single" w:sz="4" w:color="C8CCD2"/>
            </w:tcBorders>
            <w:vAlign w:val="center"/>
          </w:tcPr>
          <w:p>
            <w:r/>
            <w:r>
              <w:rPr>
                <w:rFonts w:ascii="Calibri" w:hAnsi="Calibri"/>
                <w:b/>
                <w:color w:val="FFFFFF"/>
                <w:sz w:val="19"/>
              </w:rPr>
              <w:t>Output</w:t>
            </w:r>
          </w:p>
        </w:tc>
        <w:tc>
          <w:tcPr>
            <w:tcW w:type="dxa" w:w="2835"/>
            <w:shd w:val="clear" w:color="auto" w:fill="1F3A5F"/>
            <w:tcBorders>
              <w:top w:val="single" w:sz="4" w:color="C8CCD2"/>
              <w:left w:val="single" w:sz="4" w:color="C8CCD2"/>
              <w:bottom w:val="single" w:sz="4" w:color="C8CCD2"/>
              <w:right w:val="single" w:sz="4" w:color="C8CCD2"/>
            </w:tcBorders>
            <w:vAlign w:val="center"/>
          </w:tcPr>
          <w:p>
            <w:r/>
            <w:r>
              <w:rPr>
                <w:rFonts w:ascii="Calibri" w:hAnsi="Calibri"/>
                <w:b/>
                <w:color w:val="FFFFFF"/>
                <w:sz w:val="19"/>
              </w:rPr>
              <w:t>Decision gate</w:t>
            </w:r>
          </w:p>
        </w:tc>
      </w:tr>
      <w:tr>
        <w:tc>
          <w:tcPr>
            <w:tcW w:type="dxa" w:w="680"/>
            <w:tcBorders>
              <w:top w:val="single" w:sz="4" w:color="C8CCD2"/>
              <w:left w:val="single" w:sz="4" w:color="C8CCD2"/>
              <w:bottom w:val="single" w:sz="4" w:color="C8CCD2"/>
              <w:right w:val="single" w:sz="4" w:color="C8CCD2"/>
            </w:tcBorders>
            <w:vAlign w:val="center"/>
          </w:tcPr>
          <w:p>
            <w:r/>
            <w:r>
              <w:rPr>
                <w:rFonts w:ascii="Calibri" w:hAnsi="Calibri"/>
                <w:color w:val="2A2A2A"/>
                <w:sz w:val="19"/>
              </w:rPr>
              <w:t>1-2</w:t>
            </w:r>
          </w:p>
        </w:tc>
        <w:tc>
          <w:tcPr>
            <w:tcW w:type="dxa" w:w="3572"/>
            <w:tcBorders>
              <w:top w:val="single" w:sz="4" w:color="C8CCD2"/>
              <w:left w:val="single" w:sz="4" w:color="C8CCD2"/>
              <w:bottom w:val="single" w:sz="4" w:color="C8CCD2"/>
              <w:right w:val="single" w:sz="4" w:color="C8CCD2"/>
            </w:tcBorders>
            <w:vAlign w:val="center"/>
          </w:tcPr>
          <w:p>
            <w:r/>
            <w:r>
              <w:rPr>
                <w:rFonts w:ascii="Calibri" w:hAnsi="Calibri"/>
                <w:color w:val="2A2A2A"/>
                <w:sz w:val="19"/>
              </w:rPr>
              <w:t>Banker round - DNB Carnegie, Carnegie, ABG, Pareto, Arctic. Confirm whether PHM sell-side mandate is live and target timing; confirm whether any of the three named anchors is under mandate</w:t>
            </w:r>
          </w:p>
        </w:tc>
        <w:tc>
          <w:tcPr>
            <w:tcW w:type="dxa" w:w="2551"/>
            <w:tcBorders>
              <w:top w:val="single" w:sz="4" w:color="C8CCD2"/>
              <w:left w:val="single" w:sz="4" w:color="C8CCD2"/>
              <w:bottom w:val="single" w:sz="4" w:color="C8CCD2"/>
              <w:right w:val="single" w:sz="4" w:color="C8CCD2"/>
            </w:tcBorders>
            <w:vAlign w:val="center"/>
          </w:tcPr>
          <w:p>
            <w:r/>
            <w:r>
              <w:rPr>
                <w:rFonts w:ascii="Calibri" w:hAnsi="Calibri"/>
                <w:color w:val="2A2A2A"/>
                <w:sz w:val="19"/>
              </w:rPr>
              <w:t>Banker note; deal-clock map</w:t>
            </w:r>
          </w:p>
        </w:tc>
        <w:tc>
          <w:tcPr>
            <w:tcW w:type="dxa" w:w="2835"/>
            <w:tcBorders>
              <w:top w:val="single" w:sz="4" w:color="C8CCD2"/>
              <w:left w:val="single" w:sz="4" w:color="C8CCD2"/>
              <w:bottom w:val="single" w:sz="4" w:color="C8CCD2"/>
              <w:right w:val="single" w:sz="4" w:color="C8CCD2"/>
            </w:tcBorders>
            <w:vAlign w:val="center"/>
          </w:tcPr>
          <w:p>
            <w:r/>
            <w:r>
              <w:rPr>
                <w:rFonts w:ascii="Calibri" w:hAnsi="Calibri"/>
                <w:color w:val="2A2A2A"/>
                <w:sz w:val="19"/>
              </w:rPr>
              <w:t>Go / no-go on full sprint based on PHM process timing and anchor mandate status</w:t>
            </w:r>
          </w:p>
        </w:tc>
      </w:tr>
      <w:tr>
        <w:tc>
          <w:tcPr>
            <w:tcW w:type="dxa" w:w="680"/>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3-6</w:t>
            </w:r>
          </w:p>
        </w:tc>
        <w:tc>
          <w:tcPr>
            <w:tcW w:type="dxa" w:w="3572"/>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Anchor outreach: Din Vaktmester (founder direct or via advisor); Vaktmesterkompaniet (advisor route given likely process); Insider Group (family direct)</w:t>
            </w:r>
          </w:p>
        </w:tc>
        <w:tc>
          <w:tcPr>
            <w:tcW w:type="dxa" w:w="2551"/>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Three management meetings; founder posture on sale; preliminary valuation expectation</w:t>
            </w:r>
          </w:p>
        </w:tc>
        <w:tc>
          <w:tcPr>
            <w:tcW w:type="dxa" w:w="2835"/>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Bilateral exclusivity option on at least one anchor at &lt;9.5x indicative</w:t>
            </w:r>
          </w:p>
        </w:tc>
      </w:tr>
      <w:tr>
        <w:tc>
          <w:tcPr>
            <w:tcW w:type="dxa" w:w="680"/>
            <w:tcBorders>
              <w:top w:val="single" w:sz="4" w:color="C8CCD2"/>
              <w:left w:val="single" w:sz="4" w:color="C8CCD2"/>
              <w:bottom w:val="single" w:sz="4" w:color="C8CCD2"/>
              <w:right w:val="single" w:sz="4" w:color="C8CCD2"/>
            </w:tcBorders>
            <w:vAlign w:val="center"/>
          </w:tcPr>
          <w:p>
            <w:r/>
            <w:r>
              <w:rPr>
                <w:rFonts w:ascii="Calibri" w:hAnsi="Calibri"/>
                <w:color w:val="2A2A2A"/>
                <w:sz w:val="19"/>
              </w:rPr>
              <w:t>7-9</w:t>
            </w:r>
          </w:p>
        </w:tc>
        <w:tc>
          <w:tcPr>
            <w:tcW w:type="dxa" w:w="3572"/>
            <w:tcBorders>
              <w:top w:val="single" w:sz="4" w:color="C8CCD2"/>
              <w:left w:val="single" w:sz="4" w:color="C8CCD2"/>
              <w:bottom w:val="single" w:sz="4" w:color="C8CCD2"/>
              <w:right w:val="single" w:sz="4" w:color="C8CCD2"/>
            </w:tcBorders>
            <w:vAlign w:val="center"/>
          </w:tcPr>
          <w:p>
            <w:r/>
            <w:r>
              <w:rPr>
                <w:rFonts w:ascii="Calibri" w:hAnsi="Calibri"/>
                <w:color w:val="2A2A2A"/>
                <w:sz w:val="19"/>
              </w:rPr>
              <w:t>Top-15 bolt-on validation: management approach to 5-8 founders, Proff.no / Brønnøysund financial confirmation on remainder. Test 4-6x bolt-on multiple expectation</w:t>
            </w:r>
          </w:p>
        </w:tc>
        <w:tc>
          <w:tcPr>
            <w:tcW w:type="dxa" w:w="2551"/>
            <w:tcBorders>
              <w:top w:val="single" w:sz="4" w:color="C8CCD2"/>
              <w:left w:val="single" w:sz="4" w:color="C8CCD2"/>
              <w:bottom w:val="single" w:sz="4" w:color="C8CCD2"/>
              <w:right w:val="single" w:sz="4" w:color="C8CCD2"/>
            </w:tcBorders>
            <w:vAlign w:val="center"/>
          </w:tcPr>
          <w:p>
            <w:r/>
            <w:r>
              <w:rPr>
                <w:rFonts w:ascii="Calibri" w:hAnsi="Calibri"/>
                <w:color w:val="2A2A2A"/>
                <w:sz w:val="19"/>
              </w:rPr>
              <w:t>Confirmed Y1-Y2 pipeline of NOK 250m+ acquired revenue at &lt;6.5x</w:t>
            </w:r>
          </w:p>
        </w:tc>
        <w:tc>
          <w:tcPr>
            <w:tcW w:type="dxa" w:w="2835"/>
            <w:tcBorders>
              <w:top w:val="single" w:sz="4" w:color="C8CCD2"/>
              <w:left w:val="single" w:sz="4" w:color="C8CCD2"/>
              <w:bottom w:val="single" w:sz="4" w:color="C8CCD2"/>
              <w:right w:val="single" w:sz="4" w:color="C8CCD2"/>
            </w:tcBorders>
            <w:vAlign w:val="center"/>
          </w:tcPr>
          <w:p>
            <w:r/>
            <w:r>
              <w:rPr>
                <w:rFonts w:ascii="Calibri" w:hAnsi="Calibri"/>
                <w:color w:val="2A2A2A"/>
                <w:sz w:val="19"/>
              </w:rPr>
              <w:t>Pipeline confirms / disconfirms the roll-up arithmetic</w:t>
            </w:r>
          </w:p>
        </w:tc>
      </w:tr>
      <w:tr>
        <w:tc>
          <w:tcPr>
            <w:tcW w:type="dxa" w:w="680"/>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10-12</w:t>
            </w:r>
          </w:p>
        </w:tc>
        <w:tc>
          <w:tcPr>
            <w:tcW w:type="dxa" w:w="3572"/>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Sector commercial diligence (scoped 3-week engagement, NOK 600-800k). TAM validation; PHM positioning; customer-side reference checks (5-8 housing managers, 3-5 commercial property owners)</w:t>
            </w:r>
          </w:p>
        </w:tc>
        <w:tc>
          <w:tcPr>
            <w:tcW w:type="dxa" w:w="2551"/>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Commercial DD deck; IC paper draft if anchor secured</w:t>
            </w:r>
          </w:p>
        </w:tc>
        <w:tc>
          <w:tcPr>
            <w:tcW w:type="dxa" w:w="2835"/>
            <w:tcBorders>
              <w:top w:val="single" w:sz="4" w:color="C8CCD2"/>
              <w:left w:val="single" w:sz="4" w:color="C8CCD2"/>
              <w:bottom w:val="single" w:sz="4" w:color="C8CCD2"/>
              <w:right w:val="single" w:sz="4" w:color="C8CCD2"/>
            </w:tcBorders>
            <w:vAlign w:val="center"/>
            <w:shd w:val="clear" w:color="auto" w:fill="F5F6F8"/>
          </w:tcPr>
          <w:p>
            <w:r/>
            <w:r>
              <w:rPr>
                <w:rFonts w:ascii="Calibri" w:hAnsi="Calibri"/>
                <w:color w:val="2A2A2A"/>
                <w:sz w:val="19"/>
              </w:rPr>
              <w:t>Convert to IC paper or pass</w:t>
            </w:r>
          </w:p>
        </w:tc>
      </w:tr>
    </w:tbl>
    <w:p>
      <w:pPr>
        <w:spacing w:after="0"/>
      </w:pPr>
    </w:p>
    <w:p>
      <w:pPr>
        <w:spacing w:before="120" w:after="40"/>
      </w:pPr>
      <w:r>
        <w:rPr>
          <w:rFonts w:ascii="Calibri" w:hAnsi="Calibri"/>
          <w:b/>
          <w:i w:val="0"/>
          <w:color w:val="2A2A2A"/>
          <w:sz w:val="22"/>
        </w:rPr>
        <w:t>What converts this to an IC paper</w:t>
      </w:r>
    </w:p>
    <w:p>
      <w:pPr>
        <w:pStyle w:val="ListBullet"/>
        <w:spacing w:after="40"/>
        <w:ind w:left="312"/>
      </w:pPr>
      <w:r>
        <w:rPr>
          <w:rFonts w:ascii="Calibri" w:hAnsi="Calibri"/>
          <w:color w:val="2A2A2A"/>
          <w:sz w:val="21"/>
        </w:rPr>
        <w:t>Bilateral exclusivity (or first-look) on one anchor at indicative &lt;9.5x.</w:t>
      </w:r>
    </w:p>
    <w:p>
      <w:pPr>
        <w:pStyle w:val="ListBullet"/>
        <w:spacing w:after="40"/>
        <w:ind w:left="312"/>
      </w:pPr>
      <w:r>
        <w:rPr>
          <w:rFonts w:ascii="Calibri" w:hAnsi="Calibri"/>
          <w:color w:val="2A2A2A"/>
          <w:sz w:val="21"/>
        </w:rPr>
        <w:t>Validated 5-year bolt-on pipeline of NOK 1.0bn+ acquired revenue at &lt;7x weighted.</w:t>
      </w:r>
    </w:p>
    <w:p>
      <w:pPr>
        <w:pStyle w:val="ListBullet"/>
        <w:spacing w:after="40"/>
        <w:ind w:left="312"/>
      </w:pPr>
      <w:r>
        <w:rPr>
          <w:rFonts w:ascii="Calibri" w:hAnsi="Calibri"/>
          <w:color w:val="2A2A2A"/>
          <w:sz w:val="21"/>
        </w:rPr>
        <w:t>Banker network confirms PHM process timing leaves us 12-18 months of clear runway.</w:t>
      </w:r>
    </w:p>
    <w:p>
      <w:pPr>
        <w:pStyle w:val="ListBullet"/>
        <w:spacing w:after="40"/>
        <w:ind w:left="312"/>
      </w:pPr>
      <w:r>
        <w:rPr>
          <w:rFonts w:ascii="Calibri" w:hAnsi="Calibri"/>
          <w:color w:val="2A2A2A"/>
          <w:sz w:val="21"/>
        </w:rPr>
        <w:t>No deal-killer regulatory / labour-cost surprise from sector DD.</w:t>
      </w:r>
    </w:p>
    <w:p>
      <w:pPr>
        <w:spacing w:before="120" w:after="40"/>
      </w:pPr>
      <w:r>
        <w:rPr>
          <w:rFonts w:ascii="Calibri" w:hAnsi="Calibri"/>
          <w:b/>
          <w:i w:val="0"/>
          <w:color w:val="2A2A2A"/>
          <w:sz w:val="22"/>
        </w:rPr>
        <w:t>What stops this here</w:t>
      </w:r>
    </w:p>
    <w:p>
      <w:pPr>
        <w:pStyle w:val="ListBullet"/>
        <w:spacing w:after="40"/>
        <w:ind w:left="312"/>
      </w:pPr>
      <w:r>
        <w:rPr>
          <w:rFonts w:ascii="Calibri" w:hAnsi="Calibri"/>
          <w:color w:val="2A2A2A"/>
          <w:sz w:val="21"/>
        </w:rPr>
        <w:t>All three anchors are auction-bound, multi-bidder, and clearing &gt;10x.</w:t>
      </w:r>
    </w:p>
    <w:p>
      <w:pPr>
        <w:pStyle w:val="ListBullet"/>
        <w:spacing w:after="40"/>
        <w:ind w:left="312"/>
      </w:pPr>
      <w:r>
        <w:rPr>
          <w:rFonts w:ascii="Calibri" w:hAnsi="Calibri"/>
          <w:color w:val="2A2A2A"/>
          <w:sz w:val="21"/>
        </w:rPr>
        <w:t>PHM accelerates M&amp;A pre-process, taking out 3-5 of our Tier-1 bolt-ons in 2026.</w:t>
      </w:r>
    </w:p>
    <w:p>
      <w:pPr>
        <w:pStyle w:val="ListBullet"/>
        <w:spacing w:after="40"/>
        <w:ind w:left="312"/>
      </w:pPr>
      <w:r>
        <w:rPr>
          <w:rFonts w:ascii="Calibri" w:hAnsi="Calibri"/>
          <w:color w:val="2A2A2A"/>
          <w:sz w:val="21"/>
        </w:rPr>
        <w:t>Commercial DD reveals customer churn or contract-tendering dynamics we have underestimated.</w:t>
      </w:r>
    </w:p>
    <w:p>
      <w:pPr>
        <w:spacing w:before="240" w:after="60"/>
      </w:pPr>
      <w:r>
        <w:rPr>
          <w:rFonts w:ascii="Calibri" w:hAnsi="Calibri"/>
          <w:b/>
          <w:i w:val="0"/>
          <w:color w:val="1F3A5F"/>
          <w:sz w:val="28"/>
        </w:rPr>
        <w:t>Appendix - Sources and Caveats</w:t>
      </w:r>
    </w:p>
    <w:p>
      <w:pPr>
        <w:pStyle w:val="ListBullet"/>
        <w:spacing w:after="40"/>
        <w:ind w:left="312"/>
      </w:pPr>
      <w:r>
        <w:rPr>
          <w:rFonts w:ascii="Calibri" w:hAnsi="Calibri"/>
          <w:color w:val="2A2A2A"/>
          <w:sz w:val="21"/>
        </w:rPr>
        <w:t>Screening universe of 75 verified Norwegian property service entities in companion file Norway_FM_Property_Services_PE_Screen.xlsx; compiled from BoldData FY23 top-50 ranking, PE press releases, Konkurransetilsynet filings, PHM Annual Report 2024, Proff.no / Brønnøysundregistrene.</w:t>
      </w:r>
    </w:p>
    <w:p>
      <w:pPr>
        <w:pStyle w:val="ListBullet"/>
        <w:spacing w:after="40"/>
        <w:ind w:left="312"/>
      </w:pPr>
      <w:r>
        <w:rPr>
          <w:rFonts w:ascii="Calibri" w:hAnsi="Calibri"/>
          <w:color w:val="2A2A2A"/>
          <w:sz w:val="21"/>
        </w:rPr>
        <w:t>PHM Group revenue (EUR 600-800m group, NOK 1.5-2.5bn Norway sub) and acquisition count (~100 group, ~30 Norway) inferred; PHM does not publicly disclose Norwegian segment results.</w:t>
      </w:r>
    </w:p>
    <w:p>
      <w:pPr>
        <w:pStyle w:val="ListBullet"/>
        <w:spacing w:after="40"/>
        <w:ind w:left="312"/>
      </w:pPr>
      <w:r>
        <w:rPr>
          <w:rFonts w:ascii="Calibri" w:hAnsi="Calibri"/>
          <w:color w:val="2A2A2A"/>
          <w:sz w:val="21"/>
        </w:rPr>
        <w:t>Transaction multiples cited (4Service to Compass 2024, Cares to Equip 2023, Sefbo to PHM 2022) are estimates from press coverage and market commentary; subject to verification in banker conversations.</w:t>
      </w:r>
    </w:p>
    <w:p>
      <w:pPr>
        <w:pStyle w:val="ListBullet"/>
        <w:spacing w:after="40"/>
        <w:ind w:left="312"/>
      </w:pPr>
      <w:r>
        <w:rPr>
          <w:rFonts w:ascii="Calibri" w:hAnsi="Calibri"/>
          <w:color w:val="2A2A2A"/>
          <w:sz w:val="21"/>
        </w:rPr>
        <w:t>OBOS / NBBL ecosystem statistics (525,000 units, 41 BBLs, monthly fee composition) are from NBBL public disclosures; require validation for the specific share of fee allocated to property services.</w:t>
      </w:r>
    </w:p>
    <w:p>
      <w:pPr>
        <w:pStyle w:val="ListBullet"/>
        <w:spacing w:after="40"/>
        <w:ind w:left="312"/>
      </w:pPr>
      <w:r>
        <w:rPr>
          <w:rFonts w:ascii="Calibri" w:hAnsi="Calibri"/>
          <w:color w:val="2A2A2A"/>
          <w:sz w:val="21"/>
        </w:rPr>
        <w:t>Returns model is illustrative; per-anchor underwriting requires deal-specific assumptions.</w:t>
      </w:r>
    </w:p>
    <w:p>
      <w:pPr>
        <w:pStyle w:val="ListBullet"/>
        <w:spacing w:after="40"/>
        <w:ind w:left="312"/>
      </w:pPr>
      <w:r>
        <w:rPr>
          <w:rFonts w:ascii="Calibri" w:hAnsi="Calibri"/>
          <w:color w:val="2A2A2A"/>
          <w:sz w:val="21"/>
        </w:rPr>
        <w:t>KLAR framework applications inform the prose; the deal team has not used scoring tables in this memo because at screen stage, the analytical question is binary (proceed to spend 12 weeks of senior time, or not), not multi-dimensional scoring.</w:t>
      </w:r>
    </w:p>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