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666666"/>
          <w:sz w:val="18"/>
        </w:rPr>
        <w:t>KLAR PARTNERS - SCREENING MEMO</w:t>
      </w:r>
    </w:p>
    <w:p>
      <w:pPr>
        <w:spacing w:before="0" w:after="40"/>
      </w:pPr>
      <w:r>
        <w:rPr>
          <w:rFonts w:ascii="Calibri" w:hAnsi="Calibri"/>
          <w:b/>
          <w:i w:val="0"/>
          <w:color w:val="1F3A5F"/>
          <w:sz w:val="44"/>
        </w:rPr>
        <w:t>Nordic Property Maintenance Roll-Up</w:t>
      </w:r>
    </w:p>
    <w:p>
      <w:pPr>
        <w:spacing w:before="0" w:after="200"/>
      </w:pPr>
      <w:r>
        <w:rPr>
          <w:rFonts w:ascii="Calibri" w:hAnsi="Calibri"/>
          <w:b w:val="0"/>
          <w:i/>
          <w:color w:val="666666"/>
          <w:sz w:val="26"/>
        </w:rPr>
        <w:t>Building the #2 platform behind PHM Group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Sector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Property maintenance / janitorial (vaktmester, eiendomsdrift, fastighetsskötsel)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Geography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Norway anchor; Nordic platform optionality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Reference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PHM Group (Norvestor VIII, platform vintage 2017)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/>
                <w:color w:val="1F3A5F"/>
                <w:sz w:val="20"/>
              </w:rPr>
              <w:t>Decision</w:t>
            </w:r>
          </w:p>
        </w:tc>
        <w:tc>
          <w:tcPr>
            <w:tcW w:type="dxa" w:w="7654"/>
          </w:tcPr>
          <w:p>
            <w:r/>
            <w:r>
              <w:rPr>
                <w:color w:val="333333"/>
                <w:sz w:val="20"/>
              </w:rPr>
              <w:t>Conditional proceed to Phase 2 origination (anchor + pipeline)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1.  Recommendation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Proceed to Phase 2 origination on the basis that this is a buy-and-build platform construction, not the acquisition of a finished #2 asset. The thesis is to anchor on a mid-sized founder-led janitor business (NOK 250-500m revenue) and execute 25-40 bolt-ons over a five-year hold to reach NOK 2.0-2.5bn revenue at exit, mirroring Norvestor's PHM playbook with a differentiated commercial-property / pan-Nordic positioning.</w:t>
      </w:r>
    </w:p>
    <w:p>
      <w:pPr>
        <w:spacing w:before="160" w:after="60"/>
      </w:pPr>
      <w:r>
        <w:rPr>
          <w:rFonts w:ascii="Calibri" w:hAnsi="Calibri"/>
          <w:b/>
          <w:i w:val="0"/>
          <w:color w:val="333333"/>
          <w:sz w:val="23"/>
        </w:rPr>
        <w:t>Headline in three lines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Norwegian property maintenance is structurally attractive (NOK 15-25bn TAM, fragmented, recurring, regulation-shielded), with PHM at &lt;5% share leaving &gt;95% of the market open. The Nordic TAM under the same definition is NOK 55-80bn.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The roll-up arithmetic works: 200+ named bolt-on targets between NOK 30m and NOK 400m revenue, typical bolt-on entry at 4-6x EBITDA, platform exit at 11-13x. Buy-vs-build spread of 4-7 turns is the core return engine.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Right to win rests on KLAR's services playbook (Nimlas, Ocab adjacency), an explicit non-PHM positioning (commercial property + light technical bundling + Nordic geography), and three credible founder-led anchor candidates we can approach now.</w:t>
      </w:r>
    </w:p>
    <w:p>
      <w:pPr>
        <w:spacing w:before="160" w:after="60"/>
      </w:pPr>
      <w:r>
        <w:rPr>
          <w:rFonts w:ascii="Calibri" w:hAnsi="Calibri"/>
          <w:b/>
          <w:i w:val="0"/>
          <w:color w:val="333333"/>
          <w:sz w:val="23"/>
        </w:rPr>
        <w:t>What would kill this deal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Inability to land an anchor at &lt;8.5x within 12-18 months.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Bolt-on price discipline breaks (PHM pushing transaction multiples &gt;7x for sub-NOK 100m targets).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Labour-cost step change (Renholdsoverenskomsten or minimum-wage shock) compressing sector margin &gt;150 bps.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2.  Market Thesis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2.1  Sizing the addressable market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Sub-segment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Norway TAM (NOKbn)</w:t>
            </w:r>
          </w:p>
        </w:tc>
        <w:tc>
          <w:tcPr>
            <w:tcW w:type="dxa" w:w="4819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Basis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Daily janitor / building care (vaktmester, eiendomsdrift)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8 - 12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NACE 81.10 / 81.21; residential + light commercial; ~12k registered entities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Cleaning (industrial + residential)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12 - 16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Statistics Norway services sub-sector; BoldData top-50 aggregate ~NOK 20bn FY23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Outdoor / grounds / snow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2 - 4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Seasonal but contracted; lumpy but visible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Light technical FM (HVAC service, electrical, plumbing visits)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5 - 8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Adjacent; Nimlas-relevant; partial overlap with platform thesis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Addressable for this roll-up (excl. catering, security, heavy IFM)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15 - 25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Brief baseline; consistent with bottom-up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Sweden (fastighetsskötsel) adds SEK 25-35bn equivalent under the same definition; Denmark and Finland together add an estimated NOK 15-20bn. Pan-Nordic TAM for the addressable segment is NOK 55-80bn. Nominal growth 4-6% p.a. (population, housing stock, wage-driven price-throughput); real growth 1-2%.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2.2  Structural attractiveness (KLAR sector test)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Test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Read</w:t>
            </w:r>
          </w:p>
        </w:tc>
        <w:tc>
          <w:tcPr>
            <w:tcW w:type="dxa" w:w="5953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Evidence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Mission-critical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Snow clearing and building safety inspections are legally required; cleaning frequency mandated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Non-discretionary demand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Demand persists through cycle; 2020 COVID stress test showed janitor volumes resilient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Recurring revenue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70-85% under multi-year framework agreements (typical 2-3yr auto-renewing); housing co-op contracts especially sticky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Pricing power (real)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Partial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Indexed to KPI / wage index; real margin expansion via density, not price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Fragmentation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 (defining)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Top 5 players &lt;25% share; ~12,000 registered cleaning/FM entities; PHM &lt;5%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Capex intensity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Working capital + small fleet; &lt;2% revenue maintenance capex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Cash conversion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75-90% EBITDA-to-FCF after WC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Cyclicality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Partial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Operationally insulated; new-contract origination exposed to construction cycle</w:t>
            </w:r>
          </w:p>
        </w:tc>
      </w:tr>
      <w:tr>
        <w:tc>
          <w:tcPr>
            <w:tcW w:type="dxa" w:w="226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Regulatory shield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Allmenngjøringsloven creates a labour-cost floor that disadvantages informal sub-scale operators - i.e., consolidation tailwind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2.3  Why now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Generational handover wave. Two-thirds of family-owned mid-sized Norwegian property service businesses (NOK 100-500m revenue) were founded 1985-2000 with founders now aged 60+. Sefbo's 2022 sale to PHM and Insider Group's 2024 Mitie carve-out are both signals that owner appetite is opening.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PHM playbook proves the geography. Norvestor has demonstrated in real time that this segment absorbs a Nordic roll-up at scale. We are no longer asking whether it works - we are building #2 with the playbook understood.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Bolt-on supply abundant. &gt;200 named janitor / eiendomsdrift entities in the NOK 30-400m revenue band, the vast majority founder-owned and untouched.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Multiples have rebased. 2022-2024 saw entry multiples on cleaning / FM assets compress from 11-13x to 7-9x. Bolt-on multiples 4-6x. Entry environment is constructive.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3.  PHM as the Playbook (and the White Space)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3.1  What Norvestor built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Anchor: small Finnish janitor / property care platform, invested 2017 from Norvestor VIII.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Trajectory: ~100 acquisitions across Finland, Norway, Sweden, Denmark. Group revenue estimated EUR 700-850m FY24 (not publicly disclosed; triangulated from Norwegian sub filings).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Norway sub-platform: NOK 1.8-2.4bn revenue, ~30 acquisitions including Sefbo (2022, the prior largest Norwegian janitor roll-up).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Sub-brand retention post-deal. Disciplined bolt-on pricing (4-6x EBITDA &lt;NOK 50m, 6-8x &lt;NOK 200m). Local front-line continuity preserved.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Norvestor VIII vintage 2017. Exit window open now. Likely process 2026-2027.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3.2  The white space PHM does not cover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Gap</w:t>
            </w:r>
          </w:p>
        </w:tc>
        <w:tc>
          <w:tcPr>
            <w:tcW w:type="dxa" w:w="311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Why PHM has not filled it</w:t>
            </w:r>
          </w:p>
        </w:tc>
        <w:tc>
          <w:tcPr>
            <w:tcW w:type="dxa" w:w="3969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Implication for our platform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Light commercial &amp; public-sector janitor (~30-40% of TAM)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is ~70% residential; commercial customer relationships are different sales motion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Our anchor and bolt-on focus tilts commercial - distinct from PHM's residential channel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Technical service bundling (HVAC, electrical, plumbing visits)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does not have a technical service arm; bundling requires capability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Nimlas adjacency: cross-referral and bundled-contract offering, 30-50 bps margin upside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Damage / restoration handoff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has no restoration arm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Ocab adjacency: water-damage referral partnership (revenue share, not equity)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Sweden at scale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PHM's Swedish operations are sub-scale relative to its Norway/Finland footprint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Pan-Nordic platform construction via Swedish bolt-ons in years 3-5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Mid-Norway / Vestland density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is Oslo / Akershus / Østfold concentrated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in Trondheim or Bergen gives us a complementary regional base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Strategic implication: do not build a residential-Oslo PHM lookalike that competes head-to-head for the same bolt-ons and the same customers. Build a commercial-and-Nordic platform with selective residential expansion. Same TAM, different route in.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4.  Building the Platform - the Construction Plan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4.1  Anchor candidates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Three credible anchor candidates that fit the commercial-tilt, non-PHM-overlap thesis. Each is founder-led, NOK 250-1,000m revenue, sale-ready or approachable within 12-18 months.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83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Anchor</w:t>
            </w:r>
          </w:p>
        </w:tc>
        <w:tc>
          <w:tcPr>
            <w:tcW w:type="dxa" w:w="170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Revenue FY24E (NOKm)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EBITDA margin (E)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51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Fit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Vaktmesterkompaniet AS (Oslo)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~1,000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7-9%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Founder-led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Closest PHM analog - pure janitor model; founder ~60s; bolt-on track record (~10 deals). Risk: PHM presumed in dialogue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Din Vaktmester AS (Trondheim)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250-350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8-10%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Pure janitor model in mid-Norway - geographically complementary to PHM. Sub-scale but right culture for an anchor build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Insider Group AS (Høvik)</w:t>
            </w:r>
          </w:p>
        </w:tc>
        <w:tc>
          <w:tcPr>
            <w:tcW w:type="dxa" w:w="170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1,000-1,100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6-8%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Family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Mitie Norway carve-out (2024) proves M&amp;A muscle; broader IFM mix - need to validate property-maintenance share of revenue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i w:val="0"/>
          <w:color w:val="333333"/>
          <w:sz w:val="23"/>
        </w:rPr>
        <w:t>Anchor strategy view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Preferred: Din Vaktmester (Trondheim). Why: smallest cheque (NOK 200-300m EV at 8-10x), purest property-maintenance fit, geographically complementary to PHM, lowest competing-bidder intensity. Use it as the anchor to drive Phase 1 bolt-ons in Bergen and Oslo.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Acceptable: Vaktmesterkompaniet. Why: scale benefit (immediate Tier-1 platform). Downside: 9-11x entry, competing bidders likely include PHM and IFM strategics; may force a deal we cannot win on price.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Tactical: Insider Group. Why: M&amp;A muscle is genuine. Downside: cleaning content is &gt;50% of mix - centre of gravity drifts from property maintenance towards general IFM.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Alternative: dual-anchor (Din Vaktmester + Ability Gruppen Bergen, ~NOK 250-400m). Total invested capital NOK 350-500m EV; combined footprint Trondheim + Bergen + early Oslo. More integration work but cheaper entry and zero PHM competition.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4.2  Bolt-on pipeline - the engine of the roll-up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The roll-up only works if the bolt-on supply is real. We have screened ~75 Norwegian property service entities and identified ~50 in the relevant ownership / scale band. Tier-1 named bolt-ons (NOK 100-400m revenue):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551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HQ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Revenue FY24E (NOKm)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3969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Why interesting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Bygårdsservice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80-120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Pure PHM-style residential / housing-association janitor. Direct slot-in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Aktiv Eiendomsdrift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Roa (Innlandet)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60-100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Property-maintenance-only operator; Innlandet density build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Eiendomspartner 1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150-220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Family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 scale; verify business model in Proff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Ability FM AS / Ability Gruppen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250-400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Family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Vestland platform candidate; can be re-cast from anchor to bolt-on depending on terms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Toma Eiendomsdrift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 (Toma sub)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200-300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Carve-out from Tomagruppen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Property-maintenance carve-out if family willing to divest non-core; long-shot, long-cultivation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Facilitec AS (Insider sub)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Lørenskog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200-300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Insider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Carve-out from Insider if we anchor elsewhere; or comes as part of Insider deal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BBL Daglig Drift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100-150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BBL co-op linked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Housing co-op (borettslag) operator; cooperative ownership requires creative deal structure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Conluo Facility Services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150-250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Sub-scale platform we re-cast as bolt-on; Oslo density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Hvass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60-90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Pure janitor; Oslo East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Bygård Vaktmesteren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50-80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Direct PHM-comparable housing-association operator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RSV Gruppen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Bergen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60-100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Vestland bolt-on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Resolve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Risør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50-80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Southern Norway density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Total Eiendomsservice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Drammen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50-90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Buskerud / Drammen corridor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Northroads AS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Mo i Rana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80-130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Northern Norway niche; lower priority</w:t>
            </w:r>
          </w:p>
        </w:tc>
      </w:tr>
      <w:tr>
        <w:tc>
          <w:tcPr>
            <w:tcW w:type="dxa" w:w="255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Allianse Service Partner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Oslo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100-160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Asset-light franchise</w:t>
            </w:r>
          </w:p>
        </w:tc>
        <w:tc>
          <w:tcPr>
            <w:tcW w:type="dxa" w:w="396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Different model - evaluate consolidation feasibility separately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Below this set, the tail comprises 35-50 small operators in the NOK 30-100m revenue band - typical bolt-on entry at 3-5x EBITDA. Most are founder-owned, many are sale-ready as founders age out. This tail is the cheap M&amp;A engine of years 2-4 once the anchor's integration capability is proven.</w:t>
      </w:r>
    </w:p>
    <w:p>
      <w:pPr>
        <w:spacing w:before="160" w:after="60"/>
      </w:pPr>
      <w:r>
        <w:rPr>
          <w:rFonts w:ascii="Calibri" w:hAnsi="Calibri"/>
          <w:b/>
          <w:i w:val="0"/>
          <w:color w:val="333333"/>
          <w:sz w:val="23"/>
        </w:rPr>
        <w:t>Bolt-on supply: realistic vs. theoretical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Theoretical universe: ~200 named entities &gt;NOK 30m revenue across our screen and Proff.no NACE 81.10 / 81.21 filter.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Realistic 5-year pipeline (operator-willing, fit, not PHM-acquired): we model 25-40 closed bolt-ons cumulating to NOK 600-900m acquired revenue.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Risk: PHM's bolt-on pace has been 5-8 per year in Norway. If PHM accelerates in defence of a 2026-2027 exit narrative, our supply set compresses materially.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4.3  Five-year construction sequencing (illustrative)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4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368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Activity</w:t>
            </w:r>
          </w:p>
        </w:tc>
        <w:tc>
          <w:tcPr>
            <w:tcW w:type="dxa" w:w="130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Revenue (NOKm)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EBITDA margin</w:t>
            </w:r>
          </w:p>
        </w:tc>
        <w:tc>
          <w:tcPr>
            <w:tcW w:type="dxa" w:w="130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EBITDA (NOKm)</w:t>
            </w:r>
          </w:p>
        </w:tc>
        <w:tc>
          <w:tcPr>
            <w:tcW w:type="dxa" w:w="209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Cumulative bolt-on EV deployed (NOKm)</w:t>
            </w:r>
          </w:p>
        </w:tc>
      </w:tr>
      <w:tr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Y0 (entry)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acquisition + integration team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300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8.5%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26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0</w:t>
            </w:r>
          </w:p>
        </w:tc>
      </w:tr>
      <w:tr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Y1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3-5 small bolt-ons; route-density build; cross-brand integration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550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9.0%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120</w:t>
            </w:r>
          </w:p>
        </w:tc>
      </w:tr>
      <w:tr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Y2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5-8 bolt-ons incl. 1 mid-sized; first Swedish probe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1,000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9.5%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95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320</w:t>
            </w:r>
          </w:p>
        </w:tc>
      </w:tr>
      <w:tr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Y3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6-9 bolt-ons; Nimlas cross-sell pilot; recap optionality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1,500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10.5%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158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650</w:t>
            </w:r>
          </w:p>
        </w:tc>
      </w:tr>
      <w:tr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Y4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5-8 bolt-ons; Sweden scale-up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1,950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11.0%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215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950</w:t>
            </w:r>
          </w:p>
        </w:tc>
      </w:tr>
      <w:tr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Y5 (exit)</w:t>
            </w:r>
          </w:p>
        </w:tc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Tidying; sell-side preparation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2,300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11.5%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265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1,150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Anchor enters at 8.5-10.0x EBITDA. Bolt-ons blend at 4-6x EBITDA on entry. Weighted average acquisition multiple across the five-year program: 5.5-6.5x. Exit at 11-13x on a platform with NOK 250-280m EBITDA implies EV NOK 2.8-3.6bn.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4.4  Margin levers (route to 11-12% EBITDA at exit)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Lever</w:t>
            </w:r>
          </w:p>
        </w:tc>
        <w:tc>
          <w:tcPr>
            <w:tcW w:type="dxa" w:w="130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Expected uplift</w:t>
            </w:r>
          </w:p>
        </w:tc>
        <w:tc>
          <w:tcPr>
            <w:tcW w:type="dxa" w:w="113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Confidence</w:t>
            </w:r>
          </w:p>
        </w:tc>
        <w:tc>
          <w:tcPr>
            <w:tcW w:type="dxa" w:w="379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Route density (Oslo, Bergen, Trondheim corridors)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+100-150 bps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  <w:tc>
          <w:tcPr>
            <w:tcW w:type="dxa" w:w="37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Direct PHM precedent; mileage and idle time reduction on janitor routes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Procurement consolidation (chemicals, equipment, fleet, insurance)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+50-80 bps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  <w:tc>
          <w:tcPr>
            <w:tcW w:type="dxa" w:w="37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Standard PE-roll-up lever; bolt-on accretion is mechanical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Digital workforce scheduling and dispatch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+30-60 bps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  <w:tc>
          <w:tcPr>
            <w:tcW w:type="dxa" w:w="37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Implementation cost NOK 15-25m; payback Y2-Y3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Cross-sell of light technical FM (Nimlas adjacency)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+30-50 bps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  <w:tc>
          <w:tcPr>
            <w:tcW w:type="dxa" w:w="37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Requires capability transfer; not synthetic but not free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cost-synergy capture (back-office, office consolidation)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+20-40 bps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  <w:tc>
          <w:tcPr>
            <w:tcW w:type="dxa" w:w="37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Standard PMI playbook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Total margin expansion (5-year)</w:t>
            </w:r>
          </w:p>
        </w:tc>
        <w:tc>
          <w:tcPr>
            <w:tcW w:type="dxa" w:w="130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+230-380 bps</w:t>
            </w:r>
          </w:p>
        </w:tc>
        <w:tc>
          <w:tcPr>
            <w:tcW w:type="dxa" w:w="113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</w:r>
          </w:p>
        </w:tc>
        <w:tc>
          <w:tcPr>
            <w:tcW w:type="dxa" w:w="37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enters ~8.5%; exit at 11-12% is mid-range outcome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5.  KLAR Framework Application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5.1  4KQ - Four Key Questions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6236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Assessment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Verdict</w:t>
            </w:r>
          </w:p>
        </w:tc>
      </w:tr>
      <w:tr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Q1.  Why this market?</w:t>
            </w:r>
          </w:p>
        </w:tc>
        <w:tc>
          <w:tcPr>
            <w:tcW w:type="dxa" w:w="623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TAM NOK 15-25bn Norway, NOK 55-80bn Nordic. Fragmented (top-5 &lt;25%), recurring (70-85%), regulation-shielded, recession-resilient. Growth 4-6% nominal with high visibility.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 with conviction</w:t>
            </w:r>
          </w:p>
        </w:tc>
      </w:tr>
      <w:tr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Q2.  Why this asset?</w:t>
            </w:r>
          </w:p>
        </w:tc>
        <w:tc>
          <w:tcPr>
            <w:tcW w:type="dxa" w:w="623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Conditional on landing a founder-led anchor at &lt;8.5x. Asset quality of the construction is strong (recurring, capex-light, scalable) but contingent on bolt-on supply executing.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Conditional pass</w:t>
            </w:r>
          </w:p>
        </w:tc>
      </w:tr>
      <w:tr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Q3.  Why now?</w:t>
            </w:r>
          </w:p>
        </w:tc>
        <w:tc>
          <w:tcPr>
            <w:tcW w:type="dxa" w:w="623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Generational handover wave is live. PHM exit 2026-2027 reshapes the competitive landscape. Multiples have rebased to 7-9x at platform / 4-6x at bolt-on level. Window is 18-24 months.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  <w:tr>
        <w:tc>
          <w:tcPr>
            <w:tcW w:type="dxa" w:w="198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Q4.  Why KLAR?</w:t>
            </w:r>
          </w:p>
        </w:tc>
        <w:tc>
          <w:tcPr>
            <w:tcW w:type="dxa" w:w="623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Nimlas (technical) and Ocab (restoration) adjacencies are real, not synthetic - cross-referral and bundled-contract revenue 30-50 bps margin uplift. Ocab gives Swedish front door PHM lacks. Operational toolkit (route density, procurement, M&amp;A integration) directly transferable.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Pass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Aggregate: 3.5 / 4. The gating question is asset access, which converts on Phase 2 origination.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5.2  Triple 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850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Score</w:t>
            </w:r>
          </w:p>
        </w:tc>
        <w:tc>
          <w:tcPr>
            <w:tcW w:type="dxa" w:w="5953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Attractive market</w:t>
            </w:r>
          </w:p>
        </w:tc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Fragmentation, recurrence, regulation, downside protection all present; moderate but visible growth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Attractive business (post-construction)</w:t>
            </w:r>
          </w:p>
        </w:tc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A-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Strong on quality of revenue and cash conversion; ceiling on margin (labour services) and on real pricing power constrains the score</w:t>
            </w:r>
          </w:p>
        </w:tc>
      </w:tr>
      <w:tr>
        <w:tc>
          <w:tcPr>
            <w:tcW w:type="dxa" w:w="28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Attractive entry / exit</w:t>
            </w:r>
          </w:p>
        </w:tc>
        <w:tc>
          <w:tcPr>
            <w:tcW w:type="dxa" w:w="85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A-</w:t>
            </w:r>
          </w:p>
        </w:tc>
        <w:tc>
          <w:tcPr>
            <w:tcW w:type="dxa" w:w="595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Entry environment constructive (7-9x platform, 4-6x bolt-on). Exit clear (next sponsor or strategic) but sponsor-to-sponsor universe is the realistic base case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Triple A composite: A-. Investable; not a layup.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5.3  Key Characteristics Assessment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8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Characteristic</w:t>
            </w:r>
          </w:p>
        </w:tc>
        <w:tc>
          <w:tcPr>
            <w:tcW w:type="dxa" w:w="964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Score (1-5)</w:t>
            </w:r>
          </w:p>
        </w:tc>
        <w:tc>
          <w:tcPr>
            <w:tcW w:type="dxa" w:w="5386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Read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Mission-critical service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Snow, building safety, hygiene - legal requirement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Non-discretionary demand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Resilient through cycle; proven in 2020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Recurring revenue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70-85% multi-year framework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Customer concentration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Typical largest customer &lt;5%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Supplier concentration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Labour + consumables; no chokepoints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Pricing power (real, ex-indexation)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Labour-cost pass-through dominates; ceiling on real pricing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Organic growth rate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2-4% real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M&amp;A optionality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200+ bolt-on targets; defining feature of the thesis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EBITDA margin profile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6-10% entry, 10-12% at scale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Cash conversion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75-90% post-WC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ESG / regulatory positioning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Formal labour, training, energy-efficiency improvements net positive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Defensible competitive position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Density and switching costs (keys, building knowledge); real but not deep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Counter-cyclical attributes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Cleaning resilient; snow mandatory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 / management dependency at anchor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Real transition risk - PMI playbook required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Scalability of model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Linear ops with route-density gains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Composite</w:t>
            </w:r>
          </w:p>
        </w:tc>
        <w:tc>
          <w:tcPr>
            <w:tcW w:type="dxa" w:w="96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3.9 / 5.0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B+ business, A- platform through aggressive consolidation. Margin ceiling is structural - this is labour services, not software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6.  Returns Sketch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Illustrative, anchor + 25-40 bolt-on construction over 5 years.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09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Base case</w:t>
            </w:r>
          </w:p>
        </w:tc>
        <w:tc>
          <w:tcPr>
            <w:tcW w:type="dxa" w:w="209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Downside</w:t>
            </w:r>
          </w:p>
        </w:tc>
        <w:tc>
          <w:tcPr>
            <w:tcW w:type="dxa" w:w="209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Upside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entry EV (NOKm)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EBITDA at entry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26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26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65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entry multiple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11.5x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Cumulative bolt-on EV deployed Y1-Y5 (NOKm)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1,150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1,500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Weighted-average acquisition multiple (blended)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6.0x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6.5x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5.5x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Year-5 platform revenue (NOKm)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2,300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1,400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3,000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Year-5 EBITDA margin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11.5%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10.0%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12.5%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Year-5 EBITDA (NOKm)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265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140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375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Exit multiple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11.5x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9.5x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13.0x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Exit EV (NOKm)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3,050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1,330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4,880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Total invested equity (NOKm)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1,000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900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1,300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Gross MoM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2.7x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1.3x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3.4x</w:t>
            </w:r>
          </w:p>
        </w:tc>
      </w:tr>
      <w:tr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Gross IRR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22-25%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5-10%</w:t>
            </w:r>
          </w:p>
        </w:tc>
        <w:tc>
          <w:tcPr>
            <w:tcW w:type="dxa" w:w="209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30%+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Base case assumes leverage 4.5-5.5x at anchor; bolt-on accordion under term loan; dividend recap optionality in year 3 if integration is on plan. Downside case is the scenario where PHM compresses bolt-on supply, blended acquisition multiple drifts to 6.5x, and the platform exits to a strategic at 9.5x rather than to a sponsor at 11-12x.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7.  Risks and Pushbacks</w:t>
      </w: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7.1  Risks that gate 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8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Risk</w:t>
            </w:r>
          </w:p>
        </w:tc>
        <w:tc>
          <w:tcPr>
            <w:tcW w:type="dxa" w:w="124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51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Why this could kill the deal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access fails on all three named candidates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Without a credible founder-led anchor at &lt;8.5x within 12-18 months, the construction does not start. We must walk in that case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accelerates bolt-on pace pre-exit and compresses supply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If PHM closes 10-15 deals in 2026 in defence of process marketing, our pipeline thins and bolt-on prices rise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multiples drift above 7x for sub-NOK 100m targets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Medium-High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Buy-vs-build spread shrinks from 4-7 turns to 2-4 turns; returns model fails the IC hurdle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Labour cost step change (Renholdsoverenskomsten / minimum wage)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Symmetric across competitors but creates a one-off margin step-down of 100-200 bps</w:t>
            </w:r>
          </w:p>
        </w:tc>
      </w:tr>
      <w:tr>
        <w:tc>
          <w:tcPr>
            <w:tcW w:type="dxa" w:w="328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Integration capacity at the anchor proves shallow</w:t>
            </w:r>
          </w:p>
        </w:tc>
        <w:tc>
          <w:tcPr>
            <w:tcW w:type="dxa" w:w="124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  <w:tc>
          <w:tcPr>
            <w:tcW w:type="dxa" w:w="51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Roll-up depends on absorbing 5-8 deals per year; weak anchor management team is a real blocker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Calibri" w:hAnsi="Calibri"/>
          <w:b/>
          <w:i w:val="0"/>
          <w:color w:val="1F3A5F"/>
          <w:sz w:val="26"/>
        </w:rPr>
        <w:t>7.2  Pushbacks we expect at 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Objection</w:t>
            </w:r>
          </w:p>
        </w:tc>
        <w:tc>
          <w:tcPr>
            <w:tcW w:type="dxa" w:w="5386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Counter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has a 9-year head start - they own the bolt-on relationships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has chosen residential / Oslo. Commercial property and mid-Norway / Vestland / Sweden are different acquirer sets. We are not buying the same bolt-ons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This is a labour services play with no moat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True at unit level. Moat is platform-level: route density + procurement + integration capability + M&amp;A muscle. Same logic that built PHM's exit narrative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Adjacencies to Nimlas / Ocab feel synthetic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Cross-referral and bundled-contract revenue, not equity integration. Realistic uplift 30-50 bps EBITDA margin. We should not over-claim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Sponsor-to-sponsor exit universe is thin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6-10 credible bidders (Triton, IK, Adelis, Cinven, Norvestor under different fund vintage, Verdane, FSN) plus strategics (international FM majors, post-Norvestor PHM)</w:t>
            </w:r>
          </w:p>
        </w:tc>
      </w:tr>
      <w:tr>
        <w:tc>
          <w:tcPr>
            <w:tcW w:type="dxa" w:w="425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Roll-up depends on cheap bolt-on multiples that won't last</w:t>
            </w:r>
          </w:p>
        </w:tc>
        <w:tc>
          <w:tcPr>
            <w:tcW w:type="dxa" w:w="53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If supply tightens and bolt-on multiples drift, we slow the M&amp;A pace and lean on organic and margin levers. Buy-vs-build spread of 3 turns is still investable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8.  Critical Path to 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8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Workstream</w:t>
            </w:r>
          </w:p>
        </w:tc>
        <w:tc>
          <w:tcPr>
            <w:tcW w:type="dxa" w:w="1417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Target timing</w:t>
            </w:r>
          </w:p>
        </w:tc>
        <w:tc>
          <w:tcPr>
            <w:tcW w:type="dxa" w:w="4535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Decision gate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Management access - Din Vaktmester (preferred anchor)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Q3 2026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Founder posture on sale within 24 months; integration capacity assessment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Management access - Vaktmesterkompaniet (acceptable anchor)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Q3 2026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Confirm PHM not in advanced dialogue; founder valuation expectation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Management access - Insider Group (tactical anchor)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Mitie integration trajectory; property-maintenance share of revenue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long-list dilligence (top 15-20 named)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Validate 5-year pipeline of NOK 600-900m acquired revenue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Sector commercial diligence (third-party, scoped)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TAM validation; PHM acquisition pace; bolt-on multiple discipline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Sweden market scan (fastighetsskötsel)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Q4 2026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Cross-border optionality via Ocab introductions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exit timing intelligence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Ongoing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Norvestor process kick-off signal</w:t>
            </w:r>
          </w:p>
        </w:tc>
      </w:tr>
      <w:tr>
        <w:tc>
          <w:tcPr>
            <w:tcW w:type="dxa" w:w="368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Regulatory diligence (allmenngjøring, wage trajectory)</w:t>
            </w:r>
          </w:p>
        </w:tc>
        <w:tc>
          <w:tcPr>
            <w:tcW w:type="dxa" w:w="141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Q1 2027</w:t>
            </w:r>
          </w:p>
        </w:tc>
        <w:tc>
          <w:tcPr>
            <w:tcW w:type="dxa" w:w="4535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 step-change risk in next 24 months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i w:val="0"/>
          <w:color w:val="333333"/>
          <w:sz w:val="23"/>
        </w:rPr>
        <w:t>Conditions for advancing to full IC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Confirmed management access on at least one anchor candidate.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Indicative entry multiple &lt;8.5x on the anchor.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Pre-cleared bolt-on pipeline of &gt;NOK 250m revenue for Y1-Y2.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Third-party validation of TAM and PHM positioning.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9.  What We'd Need to Validate Before IC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3118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Why it matters</w:t>
            </w:r>
          </w:p>
        </w:tc>
        <w:tc>
          <w:tcPr>
            <w:tcW w:type="dxa" w:w="3402"/>
            <w:shd w:val="clear" w:color="auto" w:fill="1F3A5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Source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candidate detailed financials FY22-24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Sets entry valuation and integration baseline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Proff.no, Brønnøysundregistrene, management approach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PHM Norway segment P&amp;L and bolt-on cadence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Competitive intelligence on supply and pricing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Norvestor exit prep marketing material (once process starts); banker intel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Bolt-on pipeline scoring (top 20 named targets)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Realism check on 5-year construction plan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Per-name diligence; Proff.no filings; owner outreach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Labour cost trajectory 2026-2030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Margin guard rails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Statistics Norway, NHO Service og Handel forecasts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Customer-side reference checks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Validate switching costs and tendering dynamics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5-10 housing-association and commercial property managers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Sweden fastighetsskötsel landscape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Cross-border optionality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  <w:shd w:val="clear" w:color="auto" w:fill="F2F4F7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Separate scan (~3 weeks of work); Ocab introductions</w:t>
            </w:r>
          </w:p>
        </w:tc>
      </w:tr>
      <w:tr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Anchor management team integration capability</w:t>
            </w:r>
          </w:p>
        </w:tc>
        <w:tc>
          <w:tcPr>
            <w:tcW w:type="dxa" w:w="311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Roll-up depends on this; weak team is fatal</w:t>
            </w:r>
          </w:p>
        </w:tc>
        <w:tc>
          <w:tcPr>
            <w:tcW w:type="dxa" w:w="340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Reference checks, prior bolt-on track record review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10.  Concluding View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This is a roll-up construction, not the acquisition of a finished #2 platform. The market thesis is correct: Nordic property maintenance is structurally attractive, fragmented, recurring, and regulation-shielded, with PHM at &lt;5% share leaving the majority of the market open. Norvestor's PHM trajectory has de-risked the playbook.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The honest weakness is execution dependence. The construction relies on (a) landing a founder-led anchor at disciplined entry, and (b) closing 25-40 bolt-ons across a supply set where PHM is the prime competing acquirer. The right-to-win narrative (commercial / mid-Norway / pan-Nordic tilt, Nimlas and Ocab adjacencies) is real, but it must be operationalised - not over-claimed in IC.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333333"/>
          <w:sz w:val="21"/>
        </w:rPr>
        <w:t>Decision sought from screening committee: approval to dedicate one full-time origination resource and a modest sector commercial diligence budget (NOK 1.5-2.5m external) over Q3-Q4 2026. Mandatory re-screening checkpoint at end-Q4 2026 conditional on management access at one of the three named anchor candidates and validated bolt-on pipeline of NOK 250m+ revenue for years 1-2.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Appendix A - Screening Universe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Total Norwegian entities screened: 75 verified names (post-trim from 140).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Anchor candidates: 3 (Vaktmesterkompaniet, Din Vaktmester, Insider Group).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Tier-1 named bolt-ons (NOK 100-400m revenue): 15.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Tier-2 bolt-ons (NOK 30-100m revenue): 35-50 across the screen.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Companion file: Norway_FM_Property_Services_PE_Screen.xlsx (4 tabs: Company overview, Financials, Fit vs PHM, PE angle).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Appendix B - Key Assumptions and Limitations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Revenue and EBITDA figures for non-listed AS-level entities are largely analyst estimates triangulated from BoldData FY23 top-50 ranking, sector margin medians (6-9% cleaning, 8-10% janitor), and applied CAGR. Verification in Proff.no / Brønnøysundregistrene required before any IOI.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TAM ranges reflect analyst triangulation against the brief's NOK 15-25bn baseline; not externally validated.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PHM Norway revenue and EBITDA inferred from Norwegian subsidiary filings; PHM Group does not publicly disclose Norwegian segment results.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Exit multiple ranges based on observed transactions in Nordic FM / services 2021-2024 (PHM bolt-ons, 4Service to Compass, Cares to Equip); subject to market conditions.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KLAR 4KQ, Triple A, and Key Characteristics Assessment framework applications are the deal team's interpretation pending partner review.</w:t>
      </w:r>
    </w:p>
    <w:p>
      <w:pPr>
        <w:spacing w:before="280" w:after="120"/>
      </w:pPr>
      <w:r>
        <w:rPr>
          <w:rFonts w:ascii="Calibri" w:hAnsi="Calibri"/>
          <w:b/>
          <w:i w:val="0"/>
          <w:color w:val="1F3A5F"/>
          <w:sz w:val="32"/>
        </w:rPr>
        <w:t>Appendix C - Glossary (Norwegian terms)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Vaktmester - janitor / building caretaker.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Eiendomsdrift - property operations.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Fastighetsskötsel - (Swedish) property care / janitorial.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Borettslag - housing cooperative; dominant residential ownership form in Norway.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Sameie - condominium-style co-ownership.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Allmenngjøring(sloven) - law extending collective wage agreement application to all workers in a sector; creates the labour-cost floor that disadvantages informal operators.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Renholdsoverenskomsten - the collective wage agreement for cleaning services.</w:t>
      </w:r>
    </w:p>
    <w:p>
      <w:pPr>
        <w:pStyle w:val="ListBullet"/>
        <w:spacing w:after="40"/>
        <w:ind w:left="340"/>
      </w:pPr>
      <w:r>
        <w:rPr>
          <w:rFonts w:ascii="Calibri" w:hAnsi="Calibri"/>
          <w:color w:val="333333"/>
          <w:sz w:val="21"/>
        </w:rPr>
        <w:t>NACE 81.10 / 81.21 - statistical sector codes for combined facilities support / general building cleaning.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