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800"/>
        <w:jc w:val="center"/>
      </w:pPr>
      <w:r>
        <w:rPr>
          <w:b/>
          <w:i w:val="0"/>
          <w:color w:val="1F4E78"/>
          <w:sz w:val="56"/>
        </w:rPr>
        <w:t>LLP ANHANGSPRÜFER</w:t>
      </w:r>
    </w:p>
    <w:p>
      <w:pPr>
        <w:spacing w:after="200" w:before="0"/>
        <w:jc w:val="center"/>
      </w:pPr>
      <w:r>
        <w:rPr>
          <w:b w:val="0"/>
          <w:i w:val="0"/>
          <w:color w:val="595959"/>
          <w:sz w:val="28"/>
        </w:rPr>
        <w:t>Prüfungsunterstützung für Anhänge zum Jahresabschluss</w:t>
      </w:r>
    </w:p>
    <w:p>
      <w:pPr>
        <w:spacing w:after="200" w:before="0"/>
        <w:pBdr>
          <w:bottom w:val="single" w:sz="12" w:space="8" w:color="1F4E78"/>
        </w:pBdr>
      </w:pPr>
      <w:r>
        <w:rPr>
          <w:b w:val="0"/>
          <w:i w:val="0"/>
          <w:sz w:val="22"/>
        </w:rPr>
      </w:r>
    </w:p>
    <w:p>
      <w:pPr>
        <w:spacing w:after="280" w:before="0"/>
        <w:jc w:val="center"/>
      </w:pPr>
      <w:r>
        <w:rPr>
          <w:b/>
          <w:i w:val="0"/>
          <w:color w:val="1F4E78"/>
          <w:sz w:val="26"/>
        </w:rPr>
        <w:t>Drei Prüfungsstufen. Start über die Desktop-Verknüpfung. Das Programm bleibt auf dem Server.</w:t>
      </w:r>
    </w:p>
    <w:p>
      <w:pPr>
        <w:spacing w:after="240" w:before="0"/>
      </w:pPr>
      <w:r>
        <w:rPr>
          <w:b w:val="0"/>
          <w:i w:val="0"/>
          <w:sz w:val="22"/>
        </w:rPr>
        <w:t>Der Anhang ist der arbeitsintensivste Teil der Abschlussprüfung – und der, bei dem sich Fehler am leichtesten einschleichen: übernommene Vorjahreszahlen, die nicht mehr stimmen; Angaben, die zur Bilanz nicht passen; Pflichtangaben nach UGB, die niemand vermisst, bis es zu spät ist. Der LLP Anhangsprüfer nimmt Ihnen genau diese mechanische Fleißarbeit ab und legt Ihnen die Fundstellen auf den Tisch. Die fachliche Beurteilung bleibt, wo sie hingehört: bei Ihnen.</w:t>
      </w:r>
    </w:p>
    <w:tbl>
      <w:tblPr>
        <w:tblW w:type="auto" w:w="0"/>
        <w:jc w:val="center"/>
        <w:tblLook w:firstColumn="1" w:firstRow="1" w:lastColumn="0" w:lastRow="0" w:noHBand="0" w:noVBand="1" w:val="04A0"/>
      </w:tblPr>
      <w:tblGrid>
        <w:gridCol w:w="9972"/>
      </w:tblGrid>
      <w:tr>
        <w:tc>
          <w:tcPr>
            <w:tcW w:type="dxa" w:w="9972"/>
            <w:shd w:val="clear" w:fill="F2F7FB"/>
          </w:tcPr>
          <w:p>
            <w:r>
              <w:rPr>
                <w:b/>
                <w:color w:val="1F4E78"/>
                <w:sz w:val="22"/>
              </w:rPr>
              <w:t>Ihre Daten bleiben prüfungsintern. KI nur über den zentralen Microsoft-Foundry-Layer der Kanzlei. Kein stiller Wechsel auf ein anderes Modell. Schlüssel liegen nicht im Programm.</w:t>
            </w:r>
          </w:p>
          <w:p>
            <w:r>
              <w:rPr>
                <w:sz w:val="21"/>
              </w:rPr>
            </w:r>
          </w:p>
        </w:tc>
      </w:tr>
    </w:tbl>
    <w:p>
      <w:pPr>
        <w:spacing w:after="40"/>
      </w:pPr>
    </w:p>
    <w:p>
      <w:r>
        <w:br w:type="page"/>
      </w:r>
    </w:p>
    <w:p>
      <w:pPr>
        <w:spacing w:before="360" w:after="160"/>
        <w:pBdr>
          <w:bottom w:val="single" w:sz="6" w:space="8" w:color="1F4E78"/>
        </w:pBdr>
      </w:pPr>
      <w:r>
        <w:rPr>
          <w:b/>
          <w:color w:val="1F4E78"/>
          <w:sz w:val="32"/>
        </w:rPr>
        <w:t>Was der Anhangsprüfer für Sie erledigt</w:t>
      </w:r>
    </w:p>
    <w:p>
      <w:pPr>
        <w:spacing w:before="260" w:after="100"/>
      </w:pPr>
      <w:r>
        <w:rPr>
          <w:b/>
          <w:color w:val="1F4E78"/>
          <w:sz w:val="26"/>
        </w:rPr>
        <w:t>Stufe 1 · Vorjahresvergleich</w:t>
      </w:r>
    </w:p>
    <w:p>
      <w:pPr>
        <w:spacing w:after="120" w:before="0"/>
      </w:pPr>
      <w:r>
        <w:rPr>
          <w:b w:val="0"/>
          <w:i w:val="0"/>
          <w:sz w:val="22"/>
        </w:rPr>
        <w:t>Stimmen die im aktuellen Anhang ausgewiesenen Vorjahreszahlen mit dem Vorjahresbericht überein? Das Tool liest beide Dokumente, ordnet die Posten einander zu und stellt sie gegenüber – Zahl für Zahl.</w:t>
      </w:r>
    </w:p>
    <w:p>
      <w:pPr>
        <w:pStyle w:val="ListBullet"/>
        <w:spacing w:after="60"/>
      </w:pPr>
      <w:r>
        <w:rPr>
          <w:sz w:val="22"/>
        </w:rPr>
        <w:t>Bilanzkontinuität: Eröffnungswert neu = Schlusswert alt, je Position geprüft</w:t>
      </w:r>
    </w:p>
    <w:p>
      <w:pPr>
        <w:pStyle w:val="ListBullet"/>
        <w:spacing w:after="60"/>
      </w:pPr>
      <w:r>
        <w:rPr>
          <w:sz w:val="22"/>
        </w:rPr>
        <w:t>Textvergleich: welche Passagen sind neu, geändert oder entfallen – mit Auszug, was konkret abweicht</w:t>
      </w:r>
    </w:p>
    <w:p>
      <w:pPr>
        <w:pStyle w:val="ListBullet"/>
        <w:spacing w:after="60"/>
      </w:pPr>
      <w:r>
        <w:rPr>
          <w:sz w:val="22"/>
        </w:rPr>
        <w:t>Erkennt den Anhang auch innerhalb eines vollständigen Prüfungsberichts</w:t>
      </w:r>
    </w:p>
    <w:p>
      <w:pPr>
        <w:pStyle w:val="ListBullet"/>
        <w:spacing w:after="60"/>
      </w:pPr>
      <w:r>
        <w:rPr>
          <w:sz w:val="22"/>
        </w:rPr>
        <w:t>Präzision vor Vollständigkeit: gemeldet wird nur, was belegbar ist – keine Artefakt-Flut</w:t>
      </w:r>
    </w:p>
    <w:p>
      <w:pPr>
        <w:spacing w:before="260" w:after="100"/>
      </w:pPr>
      <w:r>
        <w:rPr>
          <w:b/>
          <w:color w:val="1F4E78"/>
          <w:sz w:val="26"/>
        </w:rPr>
        <w:t>Stufe 2 · Detailzahlenvergleich (Belegprüfung)</w:t>
      </w:r>
    </w:p>
    <w:p>
      <w:pPr>
        <w:spacing w:after="120" w:before="0"/>
      </w:pPr>
      <w:r>
        <w:rPr>
          <w:b w:val="0"/>
          <w:i w:val="0"/>
          <w:sz w:val="22"/>
        </w:rPr>
        <w:t>Passen die Angaben im Anhang zu den Detailzahlen? Das Tool stimmt den Anhang gegen Bilanz und GuV ab – und gegen Ihre Detailunterlagen, wenn Sie welche haben.</w:t>
      </w:r>
    </w:p>
    <w:p>
      <w:pPr>
        <w:pStyle w:val="ListBullet"/>
        <w:spacing w:after="60"/>
      </w:pPr>
      <w:r>
        <w:rPr>
          <w:sz w:val="22"/>
        </w:rPr>
        <w:t>Interner Abgleich Bilanz/GuV ↔ Anhang – ohne externe Belege sofort einsetzbar</w:t>
      </w:r>
    </w:p>
    <w:p>
      <w:pPr>
        <w:pStyle w:val="ListBullet"/>
        <w:spacing w:after="60"/>
      </w:pPr>
      <w:r>
        <w:rPr>
          <w:sz w:val="22"/>
        </w:rPr>
        <w:t>Bilanz und Anhang in einer Datei oder getrennt: beides funktioniert</w:t>
      </w:r>
    </w:p>
    <w:p>
      <w:pPr>
        <w:pStyle w:val="ListBullet"/>
        <w:spacing w:after="60"/>
      </w:pPr>
      <w:r>
        <w:rPr>
          <w:sz w:val="22"/>
        </w:rPr>
        <w:t>Erkennt Spiegel-Darstellungen und stimmt den Buchwert ab, nicht die Anschaffungskosten</w:t>
      </w:r>
    </w:p>
    <w:p>
      <w:pPr>
        <w:pStyle w:val="ListBullet"/>
        <w:spacing w:after="60"/>
      </w:pPr>
      <w:r>
        <w:rPr>
          <w:sz w:val="22"/>
        </w:rPr>
        <w:t>Externe Belege (Bankgarantien, Personalstand, Leasing …) werden automatisch erkannt und summiert</w:t>
      </w:r>
    </w:p>
    <w:p>
      <w:pPr>
        <w:pStyle w:val="ListBullet"/>
        <w:spacing w:after="60"/>
      </w:pPr>
      <w:r>
        <w:rPr>
          <w:sz w:val="22"/>
        </w:rPr>
        <w:t>Filtert Scheinabweichungen: Jahreszahlen sind keine Beträge, Stückzahlen keine Euro</w:t>
      </w:r>
    </w:p>
    <w:p>
      <w:pPr>
        <w:spacing w:before="260" w:after="100"/>
      </w:pPr>
      <w:r>
        <w:rPr>
          <w:b/>
          <w:color w:val="1F4E78"/>
          <w:sz w:val="26"/>
        </w:rPr>
        <w:t>Stufe 3 · UGB-Inhaltsprüfung mit KPMG-Checkliste</w:t>
      </w:r>
    </w:p>
    <w:p>
      <w:pPr>
        <w:spacing w:after="120" w:before="0"/>
      </w:pPr>
      <w:r>
        <w:rPr>
          <w:b w:val="0"/>
          <w:i w:val="0"/>
          <w:sz w:val="22"/>
        </w:rPr>
        <w:t>Sind alle nach UGB erforderlichen Angaben vorhanden? Sie erhalten die KPMG-Checkliste als ausgefülltes Arbeitspapier – mit Fundstelle je Prüfpunkt.</w:t>
      </w:r>
    </w:p>
    <w:p>
      <w:pPr>
        <w:pStyle w:val="ListBullet"/>
        <w:spacing w:after="60"/>
      </w:pPr>
      <w:r>
        <w:rPr>
          <w:sz w:val="22"/>
        </w:rPr>
        <w:t>179 Prüfpunkte, jederzeit in Excel erweiterbar – ohne Programmierung</w:t>
      </w:r>
    </w:p>
    <w:p>
      <w:pPr>
        <w:pStyle w:val="ListBullet"/>
        <w:spacing w:after="60"/>
      </w:pPr>
      <w:r>
        <w:rPr>
          <w:sz w:val="22"/>
        </w:rPr>
        <w:t>Klare Verdikte wie in Excel: Ja · Fehlt · n. a. · Offen. In der Oberfläche: Offen – Angabe gefunden / Offen – kein Hinweis / Fehlt / n. a. Kein schwammiges „teilweise“.</w:t>
      </w:r>
    </w:p>
    <w:p>
      <w:pPr>
        <w:pStyle w:val="ListBullet"/>
        <w:spacing w:after="60"/>
      </w:pPr>
      <w:r>
        <w:rPr>
          <w:sz w:val="22"/>
        </w:rPr>
        <w:t>Denkt mit: Ist kein Firmenwert bilanziert, sind die Firmenwert-Angaben nicht anwendbar – nicht „offen“</w:t>
      </w:r>
    </w:p>
    <w:p>
      <w:pPr>
        <w:pStyle w:val="ListBullet"/>
        <w:spacing w:after="60"/>
      </w:pPr>
      <w:r>
        <w:t>Zuerst Rechtsform und Größe wählen und bestätigen (GmbH oder AG, klein / mittel / groß). Ohne Bestätigung startet nichts. Es gibt kein stilles „unbekannt“. Nach der Auswahl zeigt Teil 1, wie viele Fragen gelten. Fragen, die nicht gelten, sind n. a. (Rechtsgrund), nicht „fehlt“. Danach wird nur der Rest geprüft.</w:t>
      </w:r>
    </w:p>
    <w:p>
      <w:pPr>
        <w:pStyle w:val="ListBullet"/>
        <w:spacing w:after="60"/>
      </w:pPr>
      <w:r>
        <w:rPr>
          <w:sz w:val="22"/>
        </w:rPr>
        <w:t>Fundstelle mit Seitenzahl und Zitat – die Textstelle, um die es geht, nicht der Seitenkopf</w:t>
      </w:r>
    </w:p>
    <w:p>
      <w:pPr>
        <w:pStyle w:val="ListBullet"/>
        <w:spacing w:after="60"/>
      </w:pPr>
      <w:r>
        <w:rPr>
          <w:sz w:val="22"/>
        </w:rPr>
        <w:t>Sie behalten das letzte Wort: eigene Spalte „Prüfer-Urteil“ übersteuert jedes Ergebnis</w:t>
      </w:r>
    </w:p>
    <w:p>
      <w:r>
        <w:br w:type="page"/>
      </w:r>
    </w:p>
    <w:p>
      <w:pPr>
        <w:spacing w:before="360" w:after="160"/>
        <w:pBdr>
          <w:bottom w:val="single" w:sz="6" w:space="8" w:color="1F4E78"/>
        </w:pBdr>
      </w:pPr>
      <w:r>
        <w:rPr>
          <w:b/>
          <w:color w:val="1F4E78"/>
          <w:sz w:val="32"/>
        </w:rPr>
        <w:t>Was den Anhangsprüfer auszeichnet</w:t>
      </w:r>
    </w:p>
    <w:tbl>
      <w:tblPr>
        <w:tblStyle w:val="TableGrid"/>
        <w:tblW w:type="auto" w:w="0"/>
        <w:tblLook w:firstColumn="1" w:firstRow="1" w:lastColumn="0" w:lastRow="0" w:noHBand="0" w:noVBand="1" w:val="04A0"/>
      </w:tblPr>
      <w:tblGrid>
        <w:gridCol w:w="4986"/>
        <w:gridCol w:w="4986"/>
      </w:tblGrid>
      <w:tr>
        <w:tc>
          <w:tcPr>
            <w:tcW w:type="dxa" w:w="2381"/>
            <w:shd w:val="clear" w:fill="1F4E78"/>
          </w:tcPr>
          <w:p>
            <w:r>
              <w:rPr>
                <w:b/>
                <w:color w:val="FFFFFF"/>
                <w:sz w:val="21"/>
              </w:rPr>
              <w:t>Funktion</w:t>
            </w:r>
          </w:p>
        </w:tc>
        <w:tc>
          <w:tcPr>
            <w:tcW w:type="dxa" w:w="7143"/>
            <w:shd w:val="clear" w:fill="1F4E78"/>
          </w:tcPr>
          <w:p>
            <w:r>
              <w:rPr>
                <w:b/>
                <w:color w:val="FFFFFF"/>
                <w:sz w:val="21"/>
              </w:rPr>
              <w:t>Was Sie davon haben</w:t>
            </w:r>
          </w:p>
        </w:tc>
      </w:tr>
      <w:tr>
        <w:tc>
          <w:tcPr>
            <w:tcW w:type="dxa" w:w="2381"/>
          </w:tcPr>
          <w:p>
            <w:r>
              <w:rPr>
                <w:sz w:val="21"/>
              </w:rPr>
              <w:t>Mandantenprofile</w:t>
            </w:r>
          </w:p>
        </w:tc>
        <w:tc>
          <w:tcPr>
            <w:tcW w:type="dxa" w:w="7143"/>
          </w:tcPr>
          <w:p>
            <w:r>
              <w:rPr>
                <w:sz w:val="21"/>
              </w:rPr>
              <w:t>Ein gemeinsames Prüf-Hirn, je Mandant austauschbare Dokumenten-Logik. Neue Mandanten ohne Kopie des ganzen Werkzeugs.</w:t>
            </w:r>
          </w:p>
        </w:tc>
      </w:tr>
      <w:tr>
        <w:tc>
          <w:tcPr>
            <w:tcW w:type="dxa" w:w="2381"/>
            <w:shd w:val="clear" w:fill="F2F7FB"/>
          </w:tcPr>
          <w:p>
            <w:r>
              <w:rPr>
                <w:sz w:val="21"/>
              </w:rPr>
              <w:t>PDF und Word</w:t>
            </w:r>
          </w:p>
        </w:tc>
        <w:tc>
          <w:tcPr>
            <w:tcW w:type="dxa" w:w="7143"/>
            <w:shd w:val="clear" w:fill="F2F7FB"/>
          </w:tcPr>
          <w:p>
            <w:r>
              <w:rPr>
                <w:sz w:val="21"/>
              </w:rPr>
              <w:t>Anhänge als PDF oder .docx – das Tool liest beides, Tabellen inklusive.</w:t>
            </w:r>
          </w:p>
        </w:tc>
      </w:tr>
      <w:tr>
        <w:tc>
          <w:tcPr>
            <w:tcW w:type="dxa" w:w="2381"/>
          </w:tcPr>
          <w:p>
            <w:r>
              <w:rPr>
                <w:sz w:val="21"/>
              </w:rPr>
              <w:t>Fortschritt je Mandant</w:t>
            </w:r>
          </w:p>
        </w:tc>
        <w:tc>
          <w:tcPr>
            <w:tcW w:type="dxa" w:w="7143"/>
          </w:tcPr>
          <w:p>
            <w:r>
              <w:rPr>
                <w:sz w:val="21"/>
              </w:rPr>
              <w:t>Auf einen Blick, welche der drei Stufen erledigt sind – bleibt auch nach Neustart erhalten.</w:t>
            </w:r>
          </w:p>
        </w:tc>
      </w:tr>
      <w:tr>
        <w:tc>
          <w:tcPr>
            <w:tcW w:type="dxa" w:w="2381"/>
            <w:shd w:val="clear" w:fill="F2F7FB"/>
          </w:tcPr>
          <w:p>
            <w:r>
              <w:rPr>
                <w:sz w:val="21"/>
              </w:rPr>
              <w:t>Excel-Arbeitspapiere</w:t>
            </w:r>
          </w:p>
        </w:tc>
        <w:tc>
          <w:tcPr>
            <w:tcW w:type="dxa" w:w="7143"/>
            <w:shd w:val="clear" w:fill="F2F7FB"/>
          </w:tcPr>
          <w:p>
            <w:r>
              <w:rPr>
                <w:sz w:val="21"/>
              </w:rPr>
              <w:t>Alle Ergebnisse als Excel mit Filter, Farbcodierung und Prüfer-Spalte. Direkt ins Arbeitspapier.</w:t>
            </w:r>
          </w:p>
        </w:tc>
      </w:tr>
      <w:tr>
        <w:tc>
          <w:tcPr>
            <w:tcW w:type="dxa" w:w="2381"/>
          </w:tcPr>
          <w:p>
            <w:r>
              <w:rPr>
                <w:sz w:val="21"/>
              </w:rPr>
              <w:t>Optionale Foundry-KI</w:t>
            </w:r>
          </w:p>
        </w:tc>
        <w:tc>
          <w:tcPr>
            <w:tcW w:type="dxa" w:w="7143"/>
          </w:tcPr>
          <w:p>
            <w:r>
              <w:rPr>
                <w:sz w:val="21"/>
              </w:rPr>
              <w:t>Offene Punkte kann der zentrale Foundry-Layer bewerten. Ist Foundry aus, bleibt die Heuristik. Kein stiller Wechsel auf Ollama oder ein anderes Modell.</w:t>
            </w:r>
          </w:p>
        </w:tc>
      </w:tr>
      <w:tr>
        <w:tc>
          <w:tcPr>
            <w:tcW w:type="dxa" w:w="2381"/>
            <w:shd w:val="clear" w:fill="F2F7FB"/>
          </w:tcPr>
          <w:p>
            <w:r>
              <w:rPr>
                <w:sz w:val="21"/>
              </w:rPr>
              <w:t>Einfacher Start</w:t>
            </w:r>
          </w:p>
        </w:tc>
        <w:tc>
          <w:tcPr>
            <w:tcW w:type="dxa" w:w="7143"/>
            <w:shd w:val="clear" w:fill="F2F7FB"/>
          </w:tcPr>
          <w:p>
            <w:r>
              <w:rPr>
                <w:sz w:val="21"/>
              </w:rPr>
              <w:t>Start über Starten.bat, Tools_starten.bat oder die Desktop-Verknüpfung. Keine EXE auf den PC kopieren. Python nur, wenn die IT es auf dem Server eingerichtet hat.</w:t>
            </w:r>
          </w:p>
        </w:tc>
      </w:tr>
    </w:tbl>
    <w:p>
      <w:pPr>
        <w:spacing w:after="40"/>
      </w:pPr>
    </w:p>
    <w:tbl>
      <w:tblPr>
        <w:tblW w:type="auto" w:w="0"/>
        <w:jc w:val="center"/>
        <w:tblLook w:firstColumn="1" w:firstRow="1" w:lastColumn="0" w:lastRow="0" w:noHBand="0" w:noVBand="1" w:val="04A0"/>
      </w:tblPr>
      <w:tblGrid>
        <w:gridCol w:w="9972"/>
      </w:tblGrid>
      <w:tr>
        <w:tc>
          <w:tcPr>
            <w:tcW w:type="dxa" w:w="9972"/>
            <w:shd w:val="clear" w:fill="F2F7FB"/>
          </w:tcPr>
          <w:p>
            <w:r>
              <w:rPr>
                <w:b/>
                <w:color w:val="1F4E78"/>
                <w:sz w:val="22"/>
              </w:rPr>
              <w:t>Prüfungsunterstützung, kein Ersatz</w:t>
            </w:r>
          </w:p>
          <w:p>
            <w:r>
              <w:rPr>
                <w:sz w:val="21"/>
              </w:rPr>
              <w:t>Das Tool liefert Vorarbeit und Fundstellen. Jede Feststellung ist vom verantwortlichen Abschlussprüfer zu validieren – die Verdikte sind vorläufig und in jeder Zeile überstimmbar.</w:t>
            </w:r>
          </w:p>
        </w:tc>
      </w:tr>
    </w:tbl>
    <w:p>
      <w:pPr>
        <w:spacing w:after="40"/>
      </w:pPr>
    </w:p>
    <w:p>
      <w:r>
        <w:br w:type="page"/>
      </w:r>
    </w:p>
    <w:p>
      <w:pPr>
        <w:spacing w:before="360" w:after="160"/>
        <w:pBdr>
          <w:bottom w:val="single" w:sz="6" w:space="8" w:color="1F4E78"/>
        </w:pBdr>
      </w:pPr>
      <w:r>
        <w:rPr>
          <w:b/>
          <w:color w:val="1F4E78"/>
          <w:sz w:val="32"/>
        </w:rPr>
        <w:t>So verwenden Sie das Tool</w:t>
      </w:r>
    </w:p>
    <w:p>
      <w:pPr>
        <w:spacing w:before="260" w:after="100"/>
      </w:pPr>
      <w:r>
        <w:rPr>
          <w:b/>
          <w:color w:val="1F4E78"/>
          <w:sz w:val="26"/>
        </w:rPr>
        <w:t>Einmalig: Installieren</w:t>
      </w:r>
    </w:p>
    <w:p>
      <w:pPr>
        <w:pStyle w:val="ListNumber"/>
        <w:spacing w:after="60"/>
      </w:pPr>
      <w:r>
        <w:rPr>
          <w:sz w:val="22"/>
        </w:rPr>
        <w:t>Einmalig: Doppelklick auf „Installieren.bat“. Es werden nur Desktop-Verknüpfungen angelegt („Anhangsprüfer“, „LLP AI Tools“ und „Text verbessern“). Das Programm wird nicht auf den PC kopiert.</w:t>
      </w:r>
    </w:p>
    <w:p>
      <w:pPr>
        <w:pStyle w:val="ListNumber"/>
        <w:spacing w:after="60"/>
      </w:pPr>
      <w:r>
        <w:rPr>
          <w:sz w:val="22"/>
        </w:rPr>
        <w:t>Warum keine Kopie? Alle LLP-Tools bleiben auf dem Server. So ist immer die aktuelle Fassung in Gebrauch.</w:t>
      </w:r>
    </w:p>
    <w:p>
      <w:pPr>
        <w:spacing w:before="260" w:after="100"/>
      </w:pPr>
      <w:r>
        <w:rPr>
          <w:b/>
          <w:color w:val="1F4E78"/>
          <w:sz w:val="26"/>
        </w:rPr>
        <w:t>Täglich: Starten</w:t>
      </w:r>
    </w:p>
    <w:p>
      <w:pPr>
        <w:pStyle w:val="ListNumber"/>
        <w:spacing w:after="60"/>
      </w:pPr>
      <w:r>
        <w:rPr>
          <w:sz w:val="22"/>
        </w:rPr>
        <w:t>Doppelklick auf die Desktop-Verknüpfung „Anhangsprüfer“. Der Browser öffnet sich automatisch. Alle LLP-Tools: „LLP AI Tools“ oder Tools_starten.bat. „Text verbessern“ auf dem Desktop ist nur Foundry, nicht Mistral. TEXT VERBESSERN.cmd im Tool-Ordner ist dasselbe Foundry-Tor, nicht Mistral. Zum Beenden dort den Knopf Beenden. Kurzanleitung auf dem Share: _Gemeinsam\ANLEITUNG.txt.</w:t>
      </w:r>
    </w:p>
    <w:p>
      <w:pPr>
        <w:pStyle w:val="ListNumber"/>
        <w:spacing w:after="60"/>
      </w:pPr>
      <w:r>
        <w:rPr>
          <w:sz w:val="22"/>
        </w:rPr>
        <w:t>Oben den Mandanten eintragen. Darunter sehen Sie den Stand der drei Prüfungsstufen.</w:t>
      </w:r>
    </w:p>
    <w:p>
      <w:pPr>
        <w:pStyle w:val="ListNumber"/>
        <w:spacing w:after="60"/>
      </w:pPr>
      <w:r>
        <w:t>Stufe anklicken, Unterlagen hochladen (PDF oder Word). In Stufe 3 Gesellschaft bestätigen. Teil 1 zeigt die Zahl der Fragen, dann starten. Das Ergebnis landet im Ordner „Ergebnisse“.</w:t>
      </w:r>
    </w:p>
    <w:p>
      <w:pPr>
        <w:pStyle w:val="ListNumber"/>
        <w:spacing w:after="60"/>
      </w:pPr>
      <w:r>
        <w:rPr>
          <w:sz w:val="22"/>
        </w:rPr>
        <w:t>Zum Beenden: Knopf „Beenden“ rechts oben.</w:t>
      </w:r>
    </w:p>
    <w:p>
      <w:pPr>
        <w:spacing w:before="260" w:after="100"/>
      </w:pPr>
      <w:r>
        <w:rPr>
          <w:b/>
          <w:color w:val="1F4E78"/>
          <w:sz w:val="26"/>
        </w:rPr>
        <w:t>Welche Unterlagen brauchen Sie?</w:t>
      </w:r>
    </w:p>
    <w:tbl>
      <w:tblPr>
        <w:tblStyle w:val="TableGrid"/>
        <w:tblW w:type="auto" w:w="0"/>
        <w:tblLook w:firstColumn="1" w:firstRow="1" w:lastColumn="0" w:lastRow="0" w:noHBand="0" w:noVBand="1" w:val="04A0"/>
      </w:tblPr>
      <w:tblGrid>
        <w:gridCol w:w="3324"/>
        <w:gridCol w:w="3324"/>
        <w:gridCol w:w="3324"/>
      </w:tblGrid>
      <w:tr>
        <w:tc>
          <w:tcPr>
            <w:tcW w:type="dxa" w:w="2268"/>
            <w:shd w:val="clear" w:fill="1F4E78"/>
          </w:tcPr>
          <w:p>
            <w:r>
              <w:rPr>
                <w:b/>
                <w:color w:val="FFFFFF"/>
                <w:sz w:val="21"/>
              </w:rPr>
              <w:t>Stufe</w:t>
            </w:r>
          </w:p>
        </w:tc>
        <w:tc>
          <w:tcPr>
            <w:tcW w:type="dxa" w:w="3628"/>
            <w:shd w:val="clear" w:fill="1F4E78"/>
          </w:tcPr>
          <w:p>
            <w:r>
              <w:rPr>
                <w:b/>
                <w:color w:val="FFFFFF"/>
                <w:sz w:val="21"/>
              </w:rPr>
              <w:t>Sie laden hoch</w:t>
            </w:r>
          </w:p>
        </w:tc>
        <w:tc>
          <w:tcPr>
            <w:tcW w:type="dxa" w:w="3628"/>
            <w:shd w:val="clear" w:fill="1F4E78"/>
          </w:tcPr>
          <w:p>
            <w:r>
              <w:rPr>
                <w:b/>
                <w:color w:val="FFFFFF"/>
                <w:sz w:val="21"/>
              </w:rPr>
              <w:t>Sie erhalten</w:t>
            </w:r>
          </w:p>
        </w:tc>
      </w:tr>
      <w:tr>
        <w:tc>
          <w:tcPr>
            <w:tcW w:type="dxa" w:w="2268"/>
          </w:tcPr>
          <w:p>
            <w:r>
              <w:rPr>
                <w:sz w:val="21"/>
              </w:rPr>
              <w:t>1 · Vorjahresvergleich</w:t>
            </w:r>
          </w:p>
        </w:tc>
        <w:tc>
          <w:tcPr>
            <w:tcW w:type="dxa" w:w="3628"/>
          </w:tcPr>
          <w:p>
            <w:r>
              <w:rPr>
                <w:sz w:val="21"/>
              </w:rPr>
              <w:t>Aktueller Anhang + Vorjahres-Anhang bzw. Vorjahresbericht</w:t>
            </w:r>
          </w:p>
        </w:tc>
        <w:tc>
          <w:tcPr>
            <w:tcW w:type="dxa" w:w="3628"/>
          </w:tcPr>
          <w:p>
            <w:r>
              <w:rPr>
                <w:sz w:val="21"/>
              </w:rPr>
              <w:t>Excel: Zahlen- und Textvergleich, Blatt „Abweichungen“</w:t>
            </w:r>
          </w:p>
        </w:tc>
      </w:tr>
      <w:tr>
        <w:tc>
          <w:tcPr>
            <w:tcW w:type="dxa" w:w="2268"/>
            <w:shd w:val="clear" w:fill="F2F7FB"/>
          </w:tcPr>
          <w:p>
            <w:r>
              <w:rPr>
                <w:sz w:val="21"/>
              </w:rPr>
              <w:t>2 · Detailzahlenvergleich</w:t>
            </w:r>
          </w:p>
        </w:tc>
        <w:tc>
          <w:tcPr>
            <w:tcW w:type="dxa" w:w="3628"/>
            <w:shd w:val="clear" w:fill="F2F7FB"/>
          </w:tcPr>
          <w:p>
            <w:r>
              <w:rPr>
                <w:sz w:val="21"/>
              </w:rPr>
              <w:t>Abschluss (Bilanz/GuV + Anhang); Detailunterlagen optional</w:t>
            </w:r>
          </w:p>
        </w:tc>
        <w:tc>
          <w:tcPr>
            <w:tcW w:type="dxa" w:w="3628"/>
            <w:shd w:val="clear" w:fill="F2F7FB"/>
          </w:tcPr>
          <w:p>
            <w:r>
              <w:rPr>
                <w:sz w:val="21"/>
              </w:rPr>
              <w:t>Excel: Status je Position, interner Abgleich inklusive</w:t>
            </w:r>
          </w:p>
        </w:tc>
      </w:tr>
      <w:tr>
        <w:tc>
          <w:tcPr>
            <w:tcW w:type="dxa" w:w="2268"/>
          </w:tcPr>
          <w:p>
            <w:r>
              <w:rPr>
                <w:sz w:val="21"/>
              </w:rPr>
              <w:t>3 · UGB-Inhaltsprüfung</w:t>
            </w:r>
          </w:p>
        </w:tc>
        <w:tc>
          <w:tcPr>
            <w:tcW w:type="dxa" w:w="3628"/>
          </w:tcPr>
          <w:p>
            <w:r>
              <w:t>Anhang (PDF oder Word) plus GmbH/AG und klein/mittel/groß, danach bestätigen</w:t>
            </w:r>
          </w:p>
        </w:tc>
        <w:tc>
          <w:tcPr>
            <w:tcW w:type="dxa" w:w="3628"/>
          </w:tcPr>
          <w:p>
            <w:r>
              <w:rPr>
                <w:sz w:val="21"/>
              </w:rPr>
              <w:t>Excel: ausgefüllte KPMG-Checkliste mit Fundstellen</w:t>
            </w:r>
          </w:p>
        </w:tc>
      </w:tr>
    </w:tbl>
    <w:p>
      <w:pPr>
        <w:spacing w:after="40"/>
      </w:pPr>
    </w:p>
    <w:p>
      <w:pPr>
        <w:spacing w:before="260" w:after="100"/>
      </w:pPr>
      <w:r>
        <w:rPr>
          <w:b/>
          <w:color w:val="1F4E78"/>
          <w:sz w:val="26"/>
        </w:rPr>
        <w:t>Das Ergebnis lesen</w:t>
      </w:r>
    </w:p>
    <w:p>
      <w:pPr>
        <w:pStyle w:val="ListBullet"/>
        <w:spacing w:after="60"/>
      </w:pPr>
      <w:r>
        <w:rPr>
          <w:sz w:val="22"/>
        </w:rPr>
        <w:t>Grün „OK“ bzw. „Ja“ – stimmig, Fundstelle daneben.</w:t>
      </w:r>
    </w:p>
    <w:p>
      <w:pPr>
        <w:pStyle w:val="ListBullet"/>
        <w:spacing w:after="60"/>
      </w:pPr>
      <w:r>
        <w:rPr>
          <w:sz w:val="22"/>
        </w:rPr>
        <w:t>Rot „Abweichung“ bzw. „Fehlt“ – hier ansetzen. Bei „Fehlt“ steht konkret, was fehlt.</w:t>
      </w:r>
    </w:p>
    <w:p>
      <w:pPr>
        <w:pStyle w:val="ListBullet"/>
        <w:spacing w:after="60"/>
      </w:pPr>
      <w:r>
        <w:rPr>
          <w:sz w:val="22"/>
        </w:rPr>
        <w:t>Grau „nicht anwendbar“ – Position oder Sachverhalt liegt nicht vor, mit Begründung.</w:t>
      </w:r>
    </w:p>
    <w:p>
      <w:pPr>
        <w:pStyle w:val="ListBullet"/>
        <w:spacing w:after="60"/>
      </w:pPr>
      <w:r>
        <w:rPr>
          <w:sz w:val="22"/>
        </w:rPr>
        <w:t>Gelb „Offen“ – automatisch nicht entscheidbar, bitte manuell prüfen.</w:t>
      </w:r>
    </w:p>
    <w:p>
      <w:pPr>
        <w:pStyle w:val="ListBullet"/>
        <w:spacing w:after="60"/>
      </w:pPr>
      <w:r>
        <w:rPr>
          <w:sz w:val="22"/>
        </w:rPr>
        <w:t>Spalte „Prüfer-Urteil“: Ihre Auswahl übersteuert das Tool; Spalte „Final“ zeigt das maßgebliche Urteil.</w:t>
      </w:r>
    </w:p>
    <w:p>
      <w:pPr>
        <w:spacing w:before="260" w:after="100"/>
      </w:pPr>
      <w:r>
        <w:rPr>
          <w:b/>
          <w:color w:val="1F4E78"/>
          <w:sz w:val="26"/>
        </w:rPr>
        <w:t>Prüfprogramm erweitern</w:t>
      </w:r>
    </w:p>
    <w:p>
      <w:pPr>
        <w:spacing w:after="120" w:before="0"/>
      </w:pPr>
      <w:r>
        <w:rPr>
          <w:b w:val="0"/>
          <w:i w:val="0"/>
          <w:sz w:val="22"/>
        </w:rPr>
        <w:t>Die Checkliste liegt als Excel im Ordner „Fachliche Unterlagen \ UGB-Inhaltsprüfung“. Zeilen ergänzen, Stichwörter schärfen, speichern – beim nächsten Start liest das Tool die neue Fassung. Je besser die Stichwörter, desto treffsicherer die Fundstellen.</w:t>
      </w:r>
    </w:p>
    <w:p>
      <w:pPr>
        <w:spacing w:after="120" w:before="280"/>
        <w:pBdr>
          <w:top w:val="single" w:sz="6" w:space="8" w:color="1F4E78"/>
        </w:pBdr>
      </w:pPr>
      <w:r>
        <w:t>LLP Wirtschaftsprüfung · KI nur über den bestehenden Foundry-Zugang (llp_ai). Status ohne Schlüssel: _Gemeinsam\Pruefen.bat. Ohne Foundry arbeitet das Tool mit der Heuristik. Pseudokrat bleibt lokal. Alle Ergebnisse sind Prüfungsunterstützung und vom Abschlussprüfer zu validieren.</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LLP Anhangsprüfer – Vorstellung und Anleitung</dc:title>
  <dc:subject/>
  <dc:creator>LLP Wirtschaftsprüfung</dc:creator>
  <cp:keywords/>
  <dc:description>generated by python-docx</dc:description>
  <cp:lastModifiedBy/>
  <cp:revision>1</cp:revision>
  <dcterms:created xsi:type="dcterms:W3CDTF">2013-12-23T23:15:00Z</dcterms:created>
  <dcterms:modified xsi:type="dcterms:W3CDTF">2013-12-23T23:15:00Z</dcterms:modified>
  <cp:category/>
</cp:coreProperties>
</file>