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Ein Klick. Alles auf Ihrem PC.</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wo sie hingehören</w:t>
            </w:r>
          </w:p>
          <w:p>
            <w:r>
              <w:rPr>
                <w:sz w:val="21"/>
              </w:rPr>
              <w:t>Das Tool arbeitet vollständig auf Ihrem Rechner. Keine Cloud, kein Upload, keine Internetverbindung im Betrieb. Mandantenunterlagen verlassen den PC zu keinem Zeitpunkt – Verschwiegenheitspflicht und DSGVO sind konstruktiv abgesichert, nicht nur versprochen.</w:t>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Ja · Fehlt · nicht anwendbar · Offen. Kein schwammiges „teilweise“</w:t>
      </w:r>
    </w:p>
    <w:p>
      <w:pPr>
        <w:pStyle w:val="ListBullet"/>
        <w:spacing w:after="60"/>
      </w:pPr>
      <w:r>
        <w:rPr>
          <w:sz w:val="22"/>
        </w:rPr>
        <w:t>Denkt mit: Ist kein Firmenwert bilanziert, sind die Firmenwert-Angaben nicht anwendbar – nicht „offen“</w:t>
      </w:r>
    </w:p>
    <w:p>
      <w:pPr>
        <w:pStyle w:val="ListBullet"/>
        <w:spacing w:after="60"/>
      </w:pPr>
      <w:r>
        <w:rPr>
          <w:sz w:val="22"/>
        </w:rPr>
        <w:t>Erkennt die Rechtsform: reine AG-Angaben entfallen bei einer GmbH automatisch</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lokale KI</w:t>
            </w:r>
          </w:p>
        </w:tc>
        <w:tc>
          <w:tcPr>
            <w:tcW w:type="dxa" w:w="7143"/>
          </w:tcPr>
          <w:p>
            <w:r>
              <w:rPr>
                <w:sz w:val="21"/>
              </w:rPr>
              <w:t>Auf Wunsch entscheidet ein lokales Sprachmodell offene Punkte mit – ohne dass Daten den Rechner verlassen.</w:t>
            </w:r>
          </w:p>
        </w:tc>
      </w:tr>
      <w:tr>
        <w:tc>
          <w:tcPr>
            <w:tcW w:type="dxa" w:w="2381"/>
            <w:shd w:val="clear" w:fill="F2F7FB"/>
          </w:tcPr>
          <w:p>
            <w:r>
              <w:rPr>
                <w:sz w:val="21"/>
              </w:rPr>
              <w:t>Kein Setup</w:t>
            </w:r>
          </w:p>
        </w:tc>
        <w:tc>
          <w:tcPr>
            <w:tcW w:type="dxa" w:w="7143"/>
            <w:shd w:val="clear" w:fill="F2F7FB"/>
          </w:tcPr>
          <w:p>
            <w:r>
              <w:rPr>
                <w:sz w:val="21"/>
              </w:rPr>
              <w:t>Eine EXE. Doppelklick. Kein Python, kein Admin, keine Installation.</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rPr>
          <w:sz w:val="22"/>
        </w:rPr>
        <w:t>Doppelklick auf „Installieren.bat“. Das Tool wird auf Ihren PC kopiert und legt eine Verknüpfung „Anhangsprüfer“ auf den Desktop.</w:t>
      </w:r>
    </w:p>
    <w:p>
      <w:pPr>
        <w:pStyle w:val="ListNumber"/>
        <w:spacing w:after="60"/>
      </w:pPr>
      <w:r>
        <w:rPr>
          <w:sz w:val="22"/>
        </w:rPr>
        <w:t>Warum kopieren? Vom Netzlaufwerk startet es langsam (rund 60 Sekunden), lokal in etwa zwei.</w:t>
      </w:r>
    </w:p>
    <w:p>
      <w:pPr>
        <w:spacing w:before="260" w:after="100"/>
      </w:pPr>
      <w:r>
        <w:rPr>
          <w:b/>
          <w:color w:val="1F4E78"/>
          <w:sz w:val="26"/>
        </w:rPr>
        <w:t>Täglich: Starten</w:t>
      </w:r>
    </w:p>
    <w:p>
      <w:pPr>
        <w:pStyle w:val="ListNumber"/>
        <w:spacing w:after="60"/>
      </w:pPr>
      <w:r>
        <w:rPr>
          <w:sz w:val="22"/>
        </w:rPr>
        <w:t>Doppelklick auf die Desktop-Verknüpfung. Der Browser öffnet sich automatisch.</w:t>
      </w:r>
    </w:p>
    <w:p>
      <w:pPr>
        <w:pStyle w:val="ListNumber"/>
        <w:spacing w:after="60"/>
      </w:pPr>
      <w:r>
        <w:rPr>
          <w:sz w:val="22"/>
        </w:rPr>
        <w:t>Oben den Mandanten eintragen. Darunter sehen Sie den Stand der drei Prüfungsstufen.</w:t>
      </w:r>
    </w:p>
    <w:p>
      <w:pPr>
        <w:pStyle w:val="ListNumber"/>
        <w:spacing w:after="60"/>
      </w:pPr>
      <w:r>
        <w:rPr>
          <w:sz w:val="22"/>
        </w:rPr>
        <w:t>Stufe anklicken, Unterlagen hochladen, starten.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rPr>
                <w:sz w:val="21"/>
              </w:rPr>
              <w:t>Anhang</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rPr>
          <w:b w:val="0"/>
          <w:i/>
          <w:color w:val="595959"/>
          <w:sz w:val="18"/>
        </w:rPr>
        <w:t>LLP Wirtschaftsprüfung · Der Anhangsprüfer läuft vollständig lokal.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