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DRK MV KI-Plattform</w:t>
      </w:r>
    </w:p>
    <w:p>
      <w:pPr>
        <w:spacing w:after="160"/>
      </w:pPr>
      <w:r>
        <w:rPr>
          <w:rFonts w:ascii="Arial" w:cs="Arial" w:eastAsia="Arial" w:hAnsi="Arial"/>
          <w:color w:val="2E75B6"/>
          <w:sz w:val="34"/>
          <w:szCs w:val="34"/>
        </w:rPr>
        <w:t xml:space="preserve">API-Integration mit Anwendungssystemen</w:t>
      </w:r>
    </w:p>
    <w:p>
      <w:pPr>
        <w:spacing w:after="600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Architektur, Integrationsmuster und Umsetzung</w:t>
      </w:r>
    </w:p>
    <w:p>
      <w:pPr>
        <w:pBdr>
          <w:bottom w:val="single" w:color="2E75B6" w:sz="6" w:space="1"/>
        </w:pBdr>
        <w:spacing w:after="16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Auftraggeber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DRK Landesverband Mecklenburg-Vorpommern e.V.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Erstellt von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 COMPUTER Gesellschaft für angewandte Informatik GmbH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Bezug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Erweiterung der Systemübersicht DRK MV KI-Plattform (Multi-KV)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Version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0.1.0  –  Juni 2026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  Übersicht und Zielsetzung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Die DRK MV KI-Plattform ist als eigenständige, lokal betriebene KI-Lösung konzipiert. Um den Mehrwert für die Kreisverbände zu maximieren, kann sie über einen dedizierten Integration-Service an bestehende Anwendungssysteme angebunden werden — etwa Dienstplan-Software, Dokumentenmanagementsysteme (DMS), HR-Systeme oder Fach-Datenbanken.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Ziel dieser Erweiterung ist es, dem LLM kontextrelevante Echtdaten aus den Fremdsystemen bereitzustellen, ohne dass Nutzer zwischen Anwendungen wechseln müssen oder Daten manuell übertragen werden.</w:t>
      </w:r>
    </w:p>
    <w:p>
      <w:pPr>
        <w:spacing w:after="8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Tabelle 1: Nutzen der API-Integration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Anwendungsfall</w:t>
            </w:r>
          </w:p>
        </w:tc>
        <w:tc>
          <w:tcPr>
            <w:tcW w:type="dxa" w:w="6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Nutzen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Dienstplan-Abfrage per Chat</w:t>
            </w:r>
          </w:p>
        </w:tc>
        <w:tc>
          <w:tcPr>
            <w:tcW w:type="dxa" w:w="6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"Zeig mir die Dienste von Müller nächste Woche" — LLM ruft Dienstplan-API ab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Dokument aus DMS zitieren</w:t>
            </w:r>
          </w:p>
        </w:tc>
        <w:tc>
          <w:tcPr>
            <w:tcW w:type="dxa" w:w="6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Neues Dokument im DMS wird automatisch in den RAG-Index aufgenommen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Stammdaten aus HR-System</w:t>
            </w:r>
          </w:p>
        </w:tc>
        <w:tc>
          <w:tcPr>
            <w:tcW w:type="dxa" w:w="6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Nachtlauf synchronisiert Mitarbeiterdaten in die Wissensdatenbank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Fachanwendung abfragen</w:t>
            </w:r>
          </w:p>
        </w:tc>
        <w:tc>
          <w:tcPr>
            <w:tcW w:type="dxa" w:w="6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LLM liest Read-Only-Daten aus Sozial-Software für Kontextanreicherung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  Architektur-Erweiterung</w:t>
      </w:r>
    </w:p>
    <w:p>
      <w:pPr>
        <w:spacing w:after="80" w:before="120"/>
        <w:jc w:val="center"/>
      </w:pPr>
      <w:r>
        <w:drawing>
          <wp:inline distT="0" distB="0" distL="0" distR="0">
            <wp:extent cx="6096000" cy="4724400"/>
            <wp:effectExtent t="0" r="0" b="0" l="0"/>
            <wp:docPr id="1" name="architecture-integration" descr="Architektur mit Integration-Service und Fremdsystemen" title="Integrationsarchitekt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Abbildung 1: Architektur mit Integration-Service und angebundenen Fremdsystemen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Neue Komponenten</w:t>
      </w:r>
    </w:p>
    <w:p>
      <w:pPr>
        <w:spacing w:after="60" w:before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Tabelle 2: Neu hinzukommende Komponenten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438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Komponente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Port</w:t>
            </w:r>
          </w:p>
        </w:tc>
        <w:tc>
          <w:tcPr>
            <w:tcW w:type="dxa" w:w="5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Aufgabe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5000"/>
                <w:sz w:val="20"/>
                <w:szCs w:val="20"/>
              </w:rPr>
              <w:t xml:space="preserve">Integration-Service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5000"/>
                <w:sz w:val="20"/>
                <w:szCs w:val="20"/>
              </w:rPr>
              <w:t xml:space="preserve">:8004</w:t>
            </w:r>
          </w:p>
        </w:tc>
        <w:tc>
          <w:tcPr>
            <w:tcW w:type="dxa" w:w="5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Zentraler Ausgangs- und Eingangspunkt für alle Fremdsystem-Kommunikation. Enthält Tool-Registry, Connector-Pool und Circuit Breaker.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5000"/>
                <w:sz w:val="20"/>
                <w:szCs w:val="20"/>
              </w:rPr>
              <w:t xml:space="preserve">Secrets-Store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5000"/>
                <w:sz w:val="20"/>
                <w:szCs w:val="20"/>
              </w:rPr>
              <w:t xml:space="preserve">intern</w:t>
            </w:r>
          </w:p>
        </w:tc>
        <w:tc>
          <w:tcPr>
            <w:tcW w:type="dxa" w:w="5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Sichere Verwaltung aller API-Keys, OAuth2-Tokens und Credentials für Fremdsysteme — getrennt pro Tenant. HashiCorp Vault oder Docker Secrets.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Compliance-Grenze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Der Integration-Service ist der einzige Punkt im Stack, der die Compliance-Grenze der Plattform überschreitet. Alle anderen Services (RAG, LLM, Admin, Gateway) kommunizieren ausschließlich intern. Dies hat zwei wichtige Implikationen: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Datenschutz-by-Design: Jede ausgehende Anfrage wird im Integration-Service explizit autorisiert und geloggt (nur Metadaten: Systemname, RequestID, Tenant, Statuscode — keine Inhalte)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Single Point of Control: Fremdsystem-Credentials, Timeouts, Retry-Logik und Circuit Breaker sind zentral konfiguriert — kein Fremdsystem-Zugriff aus anderen Services möglich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  Integrationsmuster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 gibt drei grundlegende Muster für die Anbindung von Fremdsystemen. Sie können kombiniert werden.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Muster A — Tool-Calling (LLM ruft Werkzeug auf)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Das LLM erkennt während der Antwortgenerierung, dass es externe Daten benötigt, und ruft ein registriertes Tool auf. Der Nutzer muss nichts konfigurieren — die Entscheidung trifft das Modell auf Basis des Prompts.</w:t>
      </w:r>
    </w:p>
    <w:p>
      <w:pPr>
        <w:spacing w:after="8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Ablauf Tool-Calling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38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Schritt</w:t>
            </w:r>
          </w:p>
        </w:tc>
        <w:tc>
          <w:tcPr>
            <w:tcW w:type="dxa" w:w="9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9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Nutzer sendet: "Welche Dienste hat Schmidt nächste Woche?"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LLM-Service erkennt: Tool dienstplan_abfrage mit Parameter mitarbeiter="Schmidt" benötigt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LLM-Service sendet Tool-Call-Request an Integration-Service (:8004)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9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Integration-Service authentifiziert sich gegen Dienstplan-API (OAuth2 Client Credentials aus Secrets-Store)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9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Ergebnis (JSON) wird zurück an LLM-Service übergeben — als Kontext in die laufende Antwort eingebettet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9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LLM formuliert natürlichsprachliche Antwort mit den Echtdaten — mit Quellenangabe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Implementierung: Tool-Definition als JSON-Schema in der Tool-Registry des Integration-Service. Ollama unterstützt OpenAI-kompatibles Function Calling ab Version 0.3.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Tool-Definition (Beispiel: Dienstplan-Abfrage)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"name": "dienstplan_abfrage",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"description": "Liefert Dienste eines Mitarbeiters für einen Zeitraum",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"parameters":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"mitarbeiter": { "type": "string", "description": "Name oder ID"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"von": { "type": "string", "description": "Datum YYYY-MM-DD"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"bis": { "type": "string", "description": "Datum YYYY-MM-DD"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Muster B — Webhook (Fremdsystem pusht Ereignisse)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Ein Fremdsystem (z.B. DMS) sendet aktiv eine Benachrichtigung an den Integration-Service, wenn ein relevantes Ereignis eintritt — etwa ein neues Dokument. Der Integration-Service verarbeitet das Ereignis und aktualisiert ggf. den RAG-Index.</w:t>
      </w:r>
    </w:p>
    <w:p>
      <w:pPr>
        <w:spacing w:after="8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Ablauf Webhook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38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Schritt</w:t>
            </w:r>
          </w:p>
        </w:tc>
        <w:tc>
          <w:tcPr>
            <w:tcW w:type="dxa" w:w="9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9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DMS-System veröffentlicht neues Dokument → sendet HTTP POST an https://plattform/webhooks/dms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Integration-Service empfängt Webhook, prüft HMAC-Signatur (Authentizität), extrahiert Dokument-URL und Tenant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Integration-Service lädt Dokument von DMS herunter (REST-API, mit gespeichertem API-Key)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9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Dokument wird an RAG-Service übergeben → Embedding erstellt → in pgvector gespeichert (mit Tenant-Filter)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9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Nutzer können das Dokument sofort über Chat-RAG abfragen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Muster C — Scheduled Sync (Nachtlauf)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Der Integration-Service holt regelmäßig (z.B. nächtlich) Stammdaten oder Dokumente aus einem Fremdsystem und aktualisiert den RAG-Index. Kein Trigger durch das Fremdsystem nötig — ideal für Systeme ohne Webhook-Unterstützung.</w:t>
      </w:r>
    </w:p>
    <w:p>
      <w:pPr>
        <w:spacing w:after="8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Ablauf Scheduled Sync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38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Schritt</w:t>
            </w:r>
          </w:p>
        </w:tc>
        <w:tc>
          <w:tcPr>
            <w:tcW w:type="dxa" w:w="9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9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Cronjob (täglich 02:00 Uhr) triggert Sync-Job im Integration-Service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Integration-Service fragt HR-System nach geänderten Datensätzen seit letztem Sync (Delta-Abfrage)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Neue/geänderte Datensätze werden transformiert (JSON → Embedding-freundlicher Text)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9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RAG-Service aktualisiert Embeddings (neue Einträge hinzufügen, geänderte überschreiben, gelöschte entfernen)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9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Sync-Protokoll (Anzahl Datensätze, Fehler) wird ins Audit-Log geschrieben — ohne Inhalte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  Integration-Service — Aufbau und Implementierung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Struktur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Der Integration-Service ist ein weiterer FastAPI-Microservice im bestehenden Stack. Er wird in services/integration-service/ angelegt — analog zu den bestehenden Services.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services/integration-service/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src/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main.py              # FastAPI App, Endpunkte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config.py            # Settings (Pydantic)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tool_registry.py     # Tool-Definitionen fuer LLM Function Calling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connectors/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base.py            # AbstractConnector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dienstplan.py      # Dienstplan-API Connector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dms.py             # DMS / SharePoint Connector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hr.py              # HR-System Connector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webhooks/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router.py          # Webhook-Endpunkte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handlers.py        # Verarbeitungslogik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scheduler/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jobs.py            # Cronjobs (APScheduler)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secrets.py           # Secrets-Store Client (Vault / Env)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tests/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Dockerfile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pyproject.toml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Connector-Muster (AbstractConnector)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Jedes Fremdsystem implementiert einen eigenen Connector, der von AbstractConnector erbt. Das ermöglicht einfaches Hinzufügen neuer Systeme ohne Änderungen am Kern.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connectors/base.py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abc import ABC, abstractmethod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AbstractConnector(ABC):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__init__(self, tenant_id: str, secrets) -&gt; None: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self.tenant_id = tenant_id  # TENANT-ISOLATION: Credentials pro Tenant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self.secrets = secrets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@abstractmethod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async def execute(self, params: dict) -&gt; dict: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"""Fuehrt eine Abfrage aus und gibt strukturiertes Ergebnis zurueck."""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@abstractmethod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async def health_check(self) -&gt; bool: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"""Prueft ob Fremdsystem erreichbar ist (fuer Circuit Breaker)."""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 Circuit Breaker und Fehlerbehandlung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Fremdsystem-Ausfälle dürfen die Plattform nicht blockieren. Jeder Connector wird durch einen Circuit Breaker abgesichert: Nach 3 aufeinanderfolgenden Fehlern öffnet der Breaker — der LLM antwortet dann ohne externe Daten und informiert den Nutzer transparent.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Vereinfachtes Beispiel mit tenacity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tenacity import retry, stop_after_attempt, wait_exponential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@retry(stop=stop_after_attempt(3), wait=wait_exponential(min=1, max=10))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async def call_external(connector, params):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await connector.execute(params)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Fallback wenn Circuit offen: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COMPLIANCE: Kein Prompt-Inhalt in Fehlermeldung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return { "error": "Dienst temporaer nicht verfuegbar", "source": connector.name 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 Secrets-Management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Credentials für Fremdsysteme werden niemals im Code oder in Git gespeichert. Für die Mono-Variante (Docker Compose) genügen Docker Secrets oder .env-Variablen. Für die Multi-KV-Plattform empfiehlt sich HashiCorp Vault mit Tenant-getrennten Pfaden.</w:t>
      </w:r>
    </w:p>
    <w:p>
      <w:pPr>
        <w:spacing w:after="60" w:before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Tabelle 3: Secrets-Struktur pro Tenant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Vault-Pfad (Beispiel)</w:t>
            </w:r>
          </w:p>
        </w:tc>
        <w:tc>
          <w:tcPr>
            <w:tcW w:type="dxa" w:w="6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Inhalt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secret/kv-parchim/dienstplan</w:t>
            </w:r>
          </w:p>
        </w:tc>
        <w:tc>
          <w:tcPr>
            <w:tcW w:type="dxa" w:w="6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API_KEY, BASE_URL, TIMEOUT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secret/kv-parchim/dms</w:t>
            </w:r>
          </w:p>
        </w:tc>
        <w:tc>
          <w:tcPr>
            <w:tcW w:type="dxa" w:w="6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CLIENT_ID, CLIENT_SECRET, TENANT_ID (Azure)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secret/kv-schwerin/dienstplan</w:t>
            </w:r>
          </w:p>
        </w:tc>
        <w:tc>
          <w:tcPr>
            <w:tcW w:type="dxa" w:w="6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Eigene Credentials — komplett getrennt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  Konkrete Anbindungsszenarien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Dienstplan-Software</w:t>
      </w:r>
    </w:p>
    <w:p>
      <w:pPr>
        <w:spacing w:after="60" w:before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Tabelle 4: Anbindung Dienstplan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Parameter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Muster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5000"/>
                <w:sz w:val="20"/>
                <w:szCs w:val="20"/>
              </w:rPr>
              <w:t xml:space="preserve">Tool-Calling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Protokoll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REST-API (JSON), typisch HTTPS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OAuth2 Client Credentials oder API-Key (je nach Hersteller)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Typische Systeme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Dienstplan24, Vivendi, SP-Expert, DRK-eigene Systeme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Tool-Parameter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mitarbeiter (Name/ID), von (Datum), bis (Datum), kreisverband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Datenschutz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Dienstplandaten sind Beschäftigtendaten (Art. 88 DSGVO). Nur Read-Only. Keine Speicherung im RAG-Index.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Dokumentenmanagementsystem (DMS / SharePoint)</w:t>
      </w:r>
    </w:p>
    <w:p>
      <w:pPr>
        <w:spacing w:after="60" w:before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Tabelle 5: Anbindung DMS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Parameter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Muster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6B2E"/>
                <w:sz w:val="20"/>
                <w:szCs w:val="20"/>
              </w:rPr>
              <w:t xml:space="preserve">Webhook (neue Dokumente) + Tool-Calling (Suche)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Protokoll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Microsoft Graph API (SharePoint Online) oder CMIS-Standard (lokale DMS)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OAuth2 Authorization Code (SharePoint) oder Basic/API-Key (lokales DMS)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Webhook-Trigger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DMS sendet Ereignis bei: neues Dokument, Dokumenten-Update, Löschung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Verarbeitung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PDF/DOCX wird extrahiert (pdfplumber/python-docx) → Text → Embedding → pgvector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Datenschutz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Nur Dokumente mit expliziter Freigabe für KI-Verarbeitung werden indexiert (Metadaten-Flag im DMS)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 HR-System / Personalverwaltung</w:t>
      </w:r>
    </w:p>
    <w:p>
      <w:pPr>
        <w:spacing w:after="60" w:before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Tabelle 6: Anbindung HR-System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Parameter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Muster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B8E"/>
                <w:sz w:val="20"/>
                <w:szCs w:val="20"/>
              </w:rPr>
              <w:t xml:space="preserve">Scheduled Sync (Nachtlauf)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Protokoll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REST-API oder SOAP/XML (ältere Systeme), alternativ CSV-Export per SFTP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API-Key oder Basis-Authentifizierung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Synchronisierte Daten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Nicht-personenbezogene Stammdaten: Organisationsstruktur, Abteilungen, Rollen, Kontaktverzeichnis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Datenschutz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Personenbezogene Daten (Name, Adresse, Gehalt) werden NICHT in RAG-Index übernommen. Nur anonymisierte/strukturelle Daten.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Sync-Frequenz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Täglich 02:00 Uhr, Delta-Abfrage (nur geänderte Datensätze seit letztem Lauf)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  Umsetzungsplan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Die Integration wird in vier Phasen umgesetzt. Jede Phase ist unabhängig produktionsfähig.</w:t>
      </w:r>
    </w:p>
    <w:p>
      <w:pPr>
        <w:spacing w:after="8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Tabelle 7: Umsetzungsphasen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4400"/>
        <w:gridCol w:w="2038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Bezeichnung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Inhalt</w:t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Dauer (ca.)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Grundgerüst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Integration-Service anlegen, AbstractConnector, Secrets-Store-Anbindung, Health-Check-Endpunkt, Tests</w:t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Woche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Tool-Calling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Tool-Registry, erster Connector (Dienstplan), Function-Calling-Integration in LLM-Service, Ollama-Konfiguration</w:t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1–2 Wochen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Webhook + Sync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Webhook-Endpunkt mit HMAC-Verifikation, DMS-Connector, Scheduled-Sync-Framework (APScheduler), HR-Connector</w:t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Wochen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Härtung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Circuit Breaker für alle Connectoren, Rate Limiting, vollständige Tenant-Isolation-Tests, Pentest Integration-Service</w:t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Woche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 Voraussetzungen vor Start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API-Dokumentation der Fremdsysteme liegt vor (REST-Spec oder WSDL)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Testumgebung der Fremdsysteme zugänglich (kein Direktzugriff auf Produktionssysteme in der Entwicklung)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Netzwerk-Freigaben zwischen Plattform-Server und Fremdsystem-Endpunkten beantragt (Vorlaufzeit 4–8 Wochen beim DRK-IT einplanen)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Datenschutzrechtliche Freigabe: Welche Daten dürfen aus Fremdsystem X in den RAG-Index? Schriftliche Bestätigung durch DRK-Datenschutzbeauftragten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ADV-Erweiterung: Wenn Fremdsystem von Drittanbieter betrieben wird, ADV nach Art. 28 DSGVO prüfen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 Wichtige Entscheidungen vor Implementierung</w:t>
      </w:r>
    </w:p>
    <w:p>
      <w:pPr>
        <w:spacing w:after="60" w:before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Tabelle 8: Offene Entscheidungen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  <w:gridCol w:w="3038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Frage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Optionen</w:t>
            </w:r>
          </w:p>
        </w:tc>
        <w:tc>
          <w:tcPr>
            <w:tcW w:type="dxa" w:w="3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Empfehlung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Secrets-Management-System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Docker Secrets, HashiCorp Vault, .env</w:t>
            </w:r>
          </w:p>
        </w:tc>
        <w:tc>
          <w:tcPr>
            <w:tcW w:type="dxa" w:w="3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Vault ab Multi-KV; Docker Secrets für Mono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Welche Fremdsysteme in Phase 2?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Abhängig von KV-Priorisierung</w:t>
            </w:r>
          </w:p>
        </w:tc>
        <w:tc>
          <w:tcPr>
            <w:tcW w:type="dxa" w:w="3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 ersten DRK-IT-Workshop klären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Welche Daten dürfen in RAG?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Organisationsstruktur, Vorlagen, Richtlinien</w:t>
            </w:r>
          </w:p>
        </w:tc>
        <w:tc>
          <w:tcPr>
            <w:tcW w:type="dxa" w:w="3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Abstimmung mit DPO vor Phase 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Function Calling Modell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Qwen2.5 32B / 14B (beide unterstützen FC)</w:t>
            </w:r>
          </w:p>
        </w:tc>
        <w:tc>
          <w:tcPr>
            <w:tcW w:type="dxa" w:w="3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14B ausreichend für strukturierte Tool-Calls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ST COMPUTER GmbH  –  Vertraulich  –  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0"/>
    </w:pPr>
    <w:r>
      <w:rPr>
        <w:rFonts w:ascii="Arial" w:cs="Arial" w:eastAsia="Arial" w:hAnsi="Arial"/>
        <w:color w:val="888888"/>
        <w:sz w:val="18"/>
        <w:szCs w:val="18"/>
      </w:rPr>
      <w:t xml:space="preserve">DRK MV KI-Plattform  |  API-Integration mit Anwendungssystemen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3d65b9b8e0dd1173762fd54f74252e42f9b0b8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2026-06-09T11:27:33.928Z</dcterms:created>
  <dcterms:modified xsi:type="dcterms:W3CDTF">2026-06-09T11:27:33.929Z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