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440"/>
      </w:pPr>
      <w:r>
        <w:rPr>
          <w:rFonts w:ascii="Arial" w:cs="Arial" w:eastAsia="Arial" w:hAnsi="Arial"/>
          <w:b/>
          <w:bCs/>
          <w:color w:val="1F4E79"/>
          <w:sz w:val="56"/>
          <w:szCs w:val="56"/>
        </w:rPr>
        <w:t xml:space="preserve">DRK KV-Einzelinstanz</w:t>
      </w:r>
    </w:p>
    <w:p>
      <w:pPr>
        <w:spacing w:after="160"/>
      </w:pPr>
      <w:r>
        <w:rPr>
          <w:rFonts w:ascii="Arial" w:cs="Arial" w:eastAsia="Arial" w:hAnsi="Arial"/>
          <w:color w:val="2E75B6"/>
          <w:sz w:val="34"/>
          <w:szCs w:val="34"/>
        </w:rPr>
        <w:t xml:space="preserve">Systemübersicht &amp; Hardware-Dimensionierung (Mono)</w:t>
      </w:r>
    </w:p>
    <w:p>
      <w:pPr>
        <w:spacing w:after="600"/>
      </w:pPr>
      <w:r>
        <w:rPr>
          <w:rFonts w:ascii="Arial" w:cs="Arial" w:eastAsia="Arial" w:hAnsi="Arial"/>
          <w:i/>
          <w:iCs/>
          <w:color w:val="555555"/>
          <w:sz w:val="26"/>
          <w:szCs w:val="26"/>
        </w:rPr>
        <w:t xml:space="preserve">Vereinfachte Architektur für einen einzelnen Kreisverband</w:t>
      </w:r>
    </w:p>
    <w:p>
      <w:pPr>
        <w:pBdr>
          <w:bottom w:val="single" w:color="2E75B6" w:sz="6" w:space="1"/>
        </w:pBdr>
        <w:spacing w:after="160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400"/>
        <w:gridCol w:w="7238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Auftraggeber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DRK-Kreisverband (Einzelinstanz)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Erstellt von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 COMPUTER Gesellschaft für angewandte Informatik GmbH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Bezug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Vereinfachung aus: Systemuebersicht-DRK-MV-KI-Plattform.docx (Multi-KV)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Version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0.1.0  –  Juni 2026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  Was entfällt gegenüber der Multi-KV-Plattform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Die Mono-Variante ist eine vereinfachte Einzelinstanz ohne Mandantenfähigkeit. Sie eignet sich für einen einzelnen DRK-Kreisverband, der die Plattform eigenständig betreibt. Die Compliance-Anforderungen (DSGVO Art. 9, § 35 SGB I, Zero-Data-Leak) bleiben vollumfänglich erhalten — lediglich die technische Komplexität der Mandantentrennung entfällt.</w:t>
      </w:r>
    </w:p>
    <w:p>
      <w:pPr>
        <w:spacing w:after="80"/>
      </w:pPr>
      <w:r>
        <w:t xml:space="preserve"/>
      </w:r>
    </w:p>
    <w:p>
      <w:pPr>
        <w:spacing w:after="60" w:before="10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Tabelle 1: Vergleich Multi-KV-Plattform vs. KV-Einzelinstanz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200"/>
        <w:gridCol w:w="3438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Komponente / Aspekt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Multi-KV-Plattform</w:t>
            </w:r>
          </w:p>
        </w:tc>
        <w:tc>
          <w:tcPr>
            <w:tcW w:type="dxa" w:w="3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KV-Einzelinstanz (Mono)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Mandantentrennung (RLS)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Pflicht — PostgreSQL Row-Level Security</w:t>
            </w:r>
          </w:p>
        </w:tc>
        <w:tc>
          <w:tcPr>
            <w:tcW w:type="dxa" w:w="3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6B2E"/>
                <w:sz w:val="20"/>
                <w:szCs w:val="20"/>
              </w:rPr>
              <w:t xml:space="preserve">Entfällt — einfaches Single-Schema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tenant_id im gesamten Stack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Überall: JWT, DB, pgvector, Logs</w:t>
            </w:r>
          </w:p>
        </w:tc>
        <w:tc>
          <w:tcPr>
            <w:tcW w:type="dxa" w:w="3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6B2E"/>
                <w:sz w:val="20"/>
                <w:szCs w:val="20"/>
              </w:rPr>
              <w:t xml:space="preserve">Entfällt vollständig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Admin-Service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Tenant-Verwaltung, Keycloak-Provisionierung</w:t>
            </w:r>
          </w:p>
        </w:tc>
        <w:tc>
          <w:tcPr>
            <w:tcW w:type="dxa" w:w="3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6B2E"/>
                <w:sz w:val="20"/>
                <w:szCs w:val="20"/>
              </w:rPr>
              <w:t xml:space="preserve">Entfällt oder stark vereinfacht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Keycloak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Multi-Realm, komplexes Setup</w:t>
            </w:r>
          </w:p>
        </w:tc>
        <w:tc>
          <w:tcPr>
            <w:tcW w:type="dxa" w:w="3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6B2E"/>
                <w:sz w:val="20"/>
                <w:szCs w:val="20"/>
              </w:rPr>
              <w:t xml:space="preserve">Single-Realm, deutlich einfacher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Kubernetes / K3s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Ab Szenario B Pflicht</w:t>
            </w:r>
          </w:p>
        </w:tc>
        <w:tc>
          <w:tcPr>
            <w:tcW w:type="dxa" w:w="3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6B2E"/>
                <w:sz w:val="20"/>
                <w:szCs w:val="20"/>
              </w:rPr>
              <w:t xml:space="preserve">Entfällt — Docker Compose reicht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MinIO (Object Storage)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Ab Szenario B für Dokumente</w:t>
            </w:r>
          </w:p>
        </w:tc>
        <w:tc>
          <w:tcPr>
            <w:tcW w:type="dxa" w:w="3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6B2E"/>
                <w:sz w:val="20"/>
                <w:szCs w:val="20"/>
              </w:rPr>
              <w:t xml:space="preserve">Entfällt — lokales Filesystem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LLM-Modellgröße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Qwen2.5 32B Q4 (~18 GB VRAM)</w:t>
            </w:r>
          </w:p>
        </w:tc>
        <w:tc>
          <w:tcPr>
            <w:tcW w:type="dxa" w:w="3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6B2E"/>
                <w:sz w:val="20"/>
                <w:szCs w:val="20"/>
              </w:rPr>
              <w:t xml:space="preserve">Qwen2.5 7B–14B Q4 (~4–9 GB VRAM)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GPU-Anforderung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NVIDIA A10G (24 GB) Minimum</w:t>
            </w:r>
          </w:p>
        </w:tc>
        <w:tc>
          <w:tcPr>
            <w:tcW w:type="dxa" w:w="3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6B2E"/>
                <w:sz w:val="20"/>
                <w:szCs w:val="20"/>
              </w:rPr>
              <w:t xml:space="preserve">Auch ohne dedizierte GPU möglich*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RAM-Bedarf gesamt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128 GB (Szenario A)</w:t>
            </w:r>
          </w:p>
        </w:tc>
        <w:tc>
          <w:tcPr>
            <w:tcW w:type="dxa" w:w="3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6B2E"/>
                <w:sz w:val="20"/>
                <w:szCs w:val="20"/>
              </w:rPr>
              <w:t xml:space="preserve">32–64 GB ausreichend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Deployment-Komplexität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Hoch (Microservices + Orchestrierung)</w:t>
            </w:r>
          </w:p>
        </w:tc>
        <w:tc>
          <w:tcPr>
            <w:tcW w:type="dxa" w:w="3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6B2E"/>
                <w:sz w:val="20"/>
                <w:szCs w:val="20"/>
              </w:rPr>
              <w:t xml:space="preserve">Niedrig (docker compose up)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DSGVO Art. 9 / § 35 SGB I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Pflicht</w:t>
            </w:r>
          </w:p>
        </w:tc>
        <w:tc>
          <w:tcPr>
            <w:tcW w:type="dxa" w:w="3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Pflicht — bleibt unverändert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Zero-Data-Leak / kein Prompt-Logging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Pflicht</w:t>
            </w:r>
          </w:p>
        </w:tc>
        <w:tc>
          <w:tcPr>
            <w:tcW w:type="dxa" w:w="3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Pflicht — bleibt unverändert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* GPU empfohlen für TTFT &lt; 2 s. Ohne GPU: TTFT 15–40 s bei 7B-Modell auf modernem Server-CPU (nicht SLA-konform, aber für interne Nutzung tolerierbar).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  Architektur-Überblick (Mono)</w:t>
      </w:r>
    </w:p>
    <w:p>
      <w:pPr>
        <w:spacing w:after="80" w:before="120"/>
        <w:jc w:val="center"/>
      </w:pPr>
      <w:r>
        <w:drawing>
          <wp:inline distT="0" distB="0" distL="0" distR="0">
            <wp:extent cx="5905500" cy="4076700"/>
            <wp:effectExtent t="0" r="0" b="0" l="0"/>
            <wp:docPr id="1" name="architecture-mono" descr="Vereinfachte Architektur KV-Einzelinstanz" title="Funktionsschaubild Mon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07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Abbildung 1: Funktionsschaubild KV-Einzelinstanz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 Datenfluss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Mitarbeitende senden Anfragen über Open WebUI (HTTPS im lokalen Netz oder per VPN)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API-Gateway validiert JWT — ohne Tenant-Logik, da nur ein Nutzerkreis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RAG-Service durchsucht die lokale Wissensdatenbank (pgvector, kein Tenant-Filter nötig)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LLM-Service leitet Anfrage an Ollama weiter — lokales Modell, kein Datenbyte nach außen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Streaming-Antwort wird direkt an den Nutzer zurückgeliefert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 Was bleibt gleich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Open WebUI als Frontend — identische Nutzererfahrung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FastAPI-Microservices-Struktur — Code-Basis bleibt kompatibel mit der Multi-KV-Plattform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Ollama mit lokalem LLM — Zero-Data-Leak, kein externer API-Aufruf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Keycloak für Auth — OIDC/OAuth2, AD-Integration, nur als Single-Realm vereinfacht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PostgreSQL + pgvector für RAG — identische Technologie, kein RLS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Kein Prompt-Logging — technisch und prozessual wie in der Multi-KV-Variante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2.3  Upgrade-Pfad zur Multi-KV-Plattform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Die Mono-Variante ist bewusst technologisch kompatibel zur Multi-KV-Plattform gestaltet. Ein späterer Upgrade ist möglich durch: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Einführung von tenant_id in alle Tabellen (Migration) und Aktivierung von RLS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Erweiterung von Keycloak auf Multi-Realm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Deployment des Admin-Service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Wechsel von Docker Compose zu K3s/Kubernetes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Eine parallele Entwicklung beider Varianten aus derselben Codebasis ist durch Feature-Flags oder Deployment-Konfiguration umsetzbar.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  Hardware-Dimensionierung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Ohne Mandantentrennung und mit reduzierter Modellgröße sinken die Hardware-Anforderungen erheblich. Die folgende Dimensionierung geht vom Zielmodell Qwen2.5 14B Q4 (~8 GB VRAM) aus — gutes Gleichgewicht zwischen Antwortqualität und Hardware-Kosten für einen einzelnen Kreisverband.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 Empfohlene Konfiguration (1 Server)</w:t>
      </w:r>
    </w:p>
    <w:p>
      <w:pPr>
        <w:spacing w:after="60" w:before="10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Tabelle 2: Hardware KV-Einzelinstanz — empfohlene Konfiguration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400"/>
        <w:gridCol w:w="4638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Komponente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Spezifikation</w:t>
            </w:r>
          </w:p>
        </w:tc>
        <w:tc>
          <w:tcPr>
            <w:tcW w:type="dxa" w:w="4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Hinweis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CPU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16–24 Kerne</w:t>
            </w:r>
          </w:p>
        </w:tc>
        <w:tc>
          <w:tcPr>
            <w:tcW w:type="dxa" w:w="4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z.B. AMD EPYC 9254 oder Intel Xeon Silver 4416+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RAM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64 GB DDR5</w:t>
            </w:r>
          </w:p>
        </w:tc>
        <w:tc>
          <w:tcPr>
            <w:tcW w:type="dxa" w:w="4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32 GB für OS/Services + 24 GB Puffer + 8 GB Modell-Overhead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GPU (empfohlen)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NVIDIA RTX 4090 (24 GB VRAM)</w:t>
            </w:r>
          </w:p>
        </w:tc>
        <w:tc>
          <w:tcPr>
            <w:tcW w:type="dxa" w:w="4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Consumer-GPU, deutlich günstiger als A10G — ausreichend für Einzelinstanz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GPU (Minimum)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NVIDIA RTX 3090 / 4080 (16–24 GB VRAM)</w:t>
            </w:r>
          </w:p>
        </w:tc>
        <w:tc>
          <w:tcPr>
            <w:tcW w:type="dxa" w:w="4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Für 14B-Modell ausreichend, TTFT ca. 1–2 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Storage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 TB NVMe SSD</w:t>
            </w:r>
          </w:p>
        </w:tc>
        <w:tc>
          <w:tcPr>
            <w:tcW w:type="dxa" w:w="4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OS + Modell (~10 GB) + Dokumente + DB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Netzwerk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 GbE</w:t>
            </w:r>
          </w:p>
        </w:tc>
        <w:tc>
          <w:tcPr>
            <w:tcW w:type="dxa" w:w="4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Ausreichend für 5–20 gleichzeitige Nutzer im KV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Betrieb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Docker Compose</w:t>
            </w:r>
          </w:p>
        </w:tc>
        <w:tc>
          <w:tcPr>
            <w:tcW w:type="dxa" w:w="4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Alle Services auf einem Server, kein Orchestrator nötig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 TTFT nach Modell und Hardware</w:t>
      </w:r>
    </w:p>
    <w:p>
      <w:pPr>
        <w:spacing w:after="60" w:before="10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Tabelle 3: Time-to-First-Token Übersicht für KV-Einzelinstanz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1800"/>
        <w:gridCol w:w="1800"/>
        <w:gridCol w:w="1838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Modell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VRAM-Bedarf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GPU RTX 4090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GPU A10G</w:t>
            </w:r>
          </w:p>
        </w:tc>
        <w:tc>
          <w:tcPr>
            <w:tcW w:type="dxa" w:w="1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CPU only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Qwen2.5 7B Q4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~4 GB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0,3–0,5 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0,5–0,8 s</w:t>
            </w:r>
          </w:p>
        </w:tc>
        <w:tc>
          <w:tcPr>
            <w:tcW w:type="dxa" w:w="1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5–12 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Qwen2.5 14B Q4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~8 GB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0,6–1,0 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0,8–1,4 s</w:t>
            </w:r>
          </w:p>
        </w:tc>
        <w:tc>
          <w:tcPr>
            <w:tcW w:type="dxa" w:w="1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15–30 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Qwen2.5 32B Q4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~18 GB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Passt nicht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0,8–1,2 s</w:t>
            </w:r>
          </w:p>
        </w:tc>
        <w:tc>
          <w:tcPr>
            <w:tcW w:type="dxa" w:w="1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nicht praktikabel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Empfehlung: Qwen2.5 14B Q4 auf RTX 4090 — beste Balance aus Qualität, Geschwindigkeit und Kosten für einen einzelnen Kreisverband.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 Kostenrahmen (Einzelinstanz)</w:t>
      </w:r>
    </w:p>
    <w:p>
      <w:pPr>
        <w:spacing w:after="60" w:before="10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Tabelle 4: Geschätzte Kosten KV-Einzelinstanz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600"/>
        <w:gridCol w:w="3038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Position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Betrag (ca.)</w:t>
            </w:r>
          </w:p>
        </w:tc>
        <w:tc>
          <w:tcPr>
            <w:tcW w:type="dxa" w:w="3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Hinweis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Server-Hardware (ohne GPU)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6.000–10.000 €</w:t>
            </w:r>
          </w:p>
        </w:tc>
        <w:tc>
          <w:tcPr>
            <w:tcW w:type="dxa" w:w="3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Tower-Server oder 1HE Rack, z.B. Dell PowerEdge T550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GPU NVIDIA RTX 4090 (24 GB)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1.800–2.200 €</w:t>
            </w:r>
          </w:p>
        </w:tc>
        <w:tc>
          <w:tcPr>
            <w:tcW w:type="dxa" w:w="3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Consumer-GPU, kein ECC — für Produktion PCIe-Kühlung prüfen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Storage (NVMe SSD 1 TB)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200–400 €</w:t>
            </w:r>
          </w:p>
        </w:tc>
        <w:tc>
          <w:tcPr>
            <w:tcW w:type="dxa" w:w="3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Samsung 990 Pro oder gleichwertig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Installation &amp; Inbetriebnahme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2.000–4.000 €</w:t>
            </w:r>
          </w:p>
        </w:tc>
        <w:tc>
          <w:tcPr>
            <w:tcW w:type="dxa" w:w="3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 COMPUTER GmbH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Gesamtrahmen Hardware + Inbetriebnahme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10.000–16.600 €</w:t>
            </w:r>
          </w:p>
        </w:tc>
        <w:tc>
          <w:tcPr>
            <w:tcW w:type="dxa" w:w="3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Einmalig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Betrieb &amp; Wartung p.a.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2.000–4.000 €</w:t>
            </w:r>
          </w:p>
        </w:tc>
        <w:tc>
          <w:tcPr>
            <w:tcW w:type="dxa" w:w="30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Strom, Hardware-Wartung, Software-Updates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Zum Vergleich: Die Multi-KV-Plattform (Szenario A, 1 KV) kostet 36.000–61.000 € Hardware + 6.000–11.000 € p.a. — die Mono-Variante ist ca. 3–4× günstiger in der Einmalanlage.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  Deployment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 Docker Compose — Übersicht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Die gesamte Lösung läuft auf einem einzigen Server mit Docker Compose. Kein Kubernetes, kein Container-Orchestrator, kein Load Balancer.</w:t>
      </w:r>
    </w:p>
    <w:p>
      <w:pPr>
        <w:spacing w:after="60" w:before="10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Tabelle 5: Services im Docker Compose Stack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5838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Service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Port</w:t>
            </w:r>
          </w:p>
        </w:tc>
        <w:tc>
          <w:tcPr>
            <w:tcW w:type="dxa" w:w="5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Funktion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open-webui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443 (HTTPS)</w:t>
            </w:r>
          </w:p>
        </w:tc>
        <w:tc>
          <w:tcPr>
            <w:tcW w:type="dxa" w:w="5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Chat-Frontend für Mitarbeitende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api-gateway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8000 (intern)</w:t>
            </w:r>
          </w:p>
        </w:tc>
        <w:tc>
          <w:tcPr>
            <w:tcW w:type="dxa" w:w="5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JWT-Validierung, Routing, Streaming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rag-service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8001 (intern)</w:t>
            </w:r>
          </w:p>
        </w:tc>
        <w:tc>
          <w:tcPr>
            <w:tcW w:type="dxa" w:w="5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Dokument-Ingest, Embedding, Vektor-Suche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llm-service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8002 (intern)</w:t>
            </w:r>
          </w:p>
        </w:tc>
        <w:tc>
          <w:tcPr>
            <w:tcW w:type="dxa" w:w="5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Inferenz-Proxy zu Ollama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ollama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11434 (intern)</w:t>
            </w:r>
          </w:p>
        </w:tc>
        <w:tc>
          <w:tcPr>
            <w:tcW w:type="dxa" w:w="5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Lokales LLM — Qwen2.5 14B Q4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postgres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5432 (intern)</w:t>
            </w:r>
          </w:p>
        </w:tc>
        <w:tc>
          <w:tcPr>
            <w:tcW w:type="dxa" w:w="5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Datenbank + pgvector für Embeddings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keycloak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8080 (intern)</w:t>
            </w:r>
          </w:p>
        </w:tc>
        <w:tc>
          <w:tcPr>
            <w:tcW w:type="dxa" w:w="5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Auth — Single-Realm für den Kreisverband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 Start und Betrieb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Start: docker compose up -d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Modell vorladen: ollama pull qwen2.5:14b (einmalig, ~5 GB Download)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Backup: pg_dump täglich per Cronjob + Kopie auf externes NAS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Updates: docker compose pull &amp;&amp; docker compose up -d (rollierender Neustart)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Monitoring: docker compose logs -f — kein dediziertes Monitoring-Stack nötig für Einzelinstanz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4.3  Netzwerk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Intern: Alle Service-zu-Service-Kommunikation im Docker-Bridge-Netz — nicht von außen erreichbar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Extern: Nur Port 443 (HTTPS, Open WebUI) und 8080 (Keycloak Admin) freigeben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Zugang der Mitarbeitenden: Direkt im LAN oder per VPN (WireGuard empfohlen)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Kein öffentlicher Internetzugang des Servers erforderlich nach Ersteinrichtung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1"/>
      </w:pBd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ST COMPUTER GmbH  –  Vertraulich  –  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  <w:spacing w:after="0"/>
    </w:pPr>
    <w:r>
      <w:rPr>
        <w:rFonts w:ascii="Arial" w:cs="Arial" w:eastAsia="Arial" w:hAnsi="Arial"/>
        <w:color w:val="888888"/>
        <w:sz w:val="18"/>
        <w:szCs w:val="18"/>
      </w:rPr>
      <w:t xml:space="preserve">DRK KV-Einzelinstanz  |  Systemübersicht &amp; Hardware-Dimensionierung (Mono)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5d8c55aee1d4c46589a0fa277c09adbc65c29f2d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2026-06-09T11:19:14.964Z</dcterms:created>
  <dcterms:modified xsi:type="dcterms:W3CDTF">2026-06-09T11:19:14.965Z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