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1440"/>
      </w:pPr>
      <w:r>
        <w:rPr>
          <w:rFonts w:ascii="Arial" w:cs="Arial" w:eastAsia="Arial" w:hAnsi="Arial"/>
          <w:b/>
          <w:bCs/>
          <w:color w:val="1F4E79"/>
          <w:sz w:val="56"/>
          <w:szCs w:val="56"/>
        </w:rPr>
        <w:t xml:space="preserve">DRK MV KI-Plattform</w:t>
      </w:r>
    </w:p>
    <w:p>
      <w:pPr>
        <w:spacing w:after="600"/>
      </w:pPr>
      <w:r>
        <w:rPr>
          <w:rFonts w:ascii="Arial" w:cs="Arial" w:eastAsia="Arial" w:hAnsi="Arial"/>
          <w:color w:val="2E75B6"/>
          <w:sz w:val="34"/>
          <w:szCs w:val="34"/>
        </w:rPr>
        <w:t xml:space="preserve">Systemübersicht &amp; Hardware-Dimensionierung</w:t>
      </w:r>
    </w:p>
    <w:p>
      <w:pPr>
        <w:pBdr>
          <w:bottom w:val="single" w:color="2E75B6" w:sz="6" w:space="1"/>
        </w:pBdr>
        <w:spacing w:after="160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7238"/>
      </w:tblGrid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666666"/>
                <w:sz w:val="20"/>
                <w:szCs w:val="20"/>
              </w:rPr>
              <w:t xml:space="preserve">Auftraggeber</w:t>
            </w:r>
          </w:p>
        </w:tc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DRK Landesverband Mecklenburg-Vorpommern e.V.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666666"/>
                <w:sz w:val="20"/>
                <w:szCs w:val="20"/>
              </w:rPr>
              <w:t xml:space="preserve">Erstellt von</w:t>
            </w:r>
          </w:p>
        </w:tc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 Computer Gesellschaft für angewandte Informatik GmbH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666666"/>
                <w:sz w:val="20"/>
                <w:szCs w:val="20"/>
              </w:rPr>
              <w:t xml:space="preserve">Version</w:t>
            </w:r>
          </w:p>
        </w:tc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0.1.0  –  Juni 2026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666666"/>
                <w:sz w:val="20"/>
                <w:szCs w:val="20"/>
              </w:rPr>
              <w:t xml:space="preserve">Vertraulichkeit</w:t>
            </w:r>
          </w:p>
        </w:tc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Vertraulich – nur für autorisierte Empfänger</w:t>
            </w:r>
          </w:p>
        </w:tc>
      </w:tr>
    </w:tbl>
    <w:p>
      <w:r>
        <w:br w:type="page"/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1  Architektur-Überblick</w:t>
      </w:r>
    </w:p>
    <w:p>
      <w:pPr>
        <w:spacing w:after="80" w:before="120"/>
        <w:jc w:val="center"/>
      </w:pPr>
      <w:r>
        <w:drawing>
          <wp:inline distT="0" distB="0" distL="0" distR="0">
            <wp:extent cx="5905500" cy="4429125"/>
            <wp:effectExtent t="0" r="0" b="0" l="0"/>
            <wp:docPr id="1" name="architecture" descr="Systemarchitektur DRK MV KI-Plattform" title="Funktionsschaubil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429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Abbildung 1: Funktionsschaubild DRK MV KI-Plattform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Die DRK MV KI-Plattform ist als mandantenfähige, vollständig lokal betriebene KI-Lösung für die 15 DRK-Kreisverbände in Mecklenburg-Vorpommern konzipiert. Alle Datenverarbeitungskomponenten laufen on-premise oder in einer DSGVO-konformen Private Cloud ausschließlich in Deutschland. Kein Datenbyte verlässt die jeweilige Mandantengrenze ohne explizite technische und rechtliche Freigabe.</w:t>
      </w:r>
    </w:p>
    <w:p>
      <w:pPr>
        <w:spacing w:after="8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1.1  Schichtenmodell</w:t>
      </w:r>
    </w:p>
    <w:p>
      <w:pPr>
        <w:spacing w:after="60" w:before="100"/>
      </w:pPr>
      <w:r>
        <w:rPr>
          <w:rFonts w:ascii="Arial" w:cs="Arial" w:eastAsia="Arial" w:hAnsi="Arial"/>
          <w:i/>
          <w:iCs/>
          <w:color w:val="555555"/>
          <w:sz w:val="20"/>
          <w:szCs w:val="20"/>
        </w:rPr>
        <w:t xml:space="preserve">Abbildung 1: Systemschichten (Datenfluss von oben nach unten)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4E79"/>
                <w:sz w:val="22"/>
                <w:szCs w:val="22"/>
              </w:rPr>
              <w:t xml:space="preserve">Nutzer (Browser / Tablet)  –  Open WebUI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HTTPS • OpenID Connect (Keycloak)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2FB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API-Gateway  (Port 8000)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JWT-Validierung • Tenant-Isolation • Request-Routing • Streaming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LLM-Service (8002)     RAG-Service (8001)     Admin-Service (8003)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Inferenz-Proxy • Dokument-Ingest &amp; Suche • Tenant- &amp; Nutzerverwaltung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Infrastruktur-Layer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Ollama (LLM) • PostgreSQL 16 + pgvector • Keycloak 24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1.2  Datenfluss Chat-Anfrage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Eine typische Chat-Anfrage durchläuft folgende Stationen: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Nutzer sendet Nachricht über Open WebUI (TLS-verschlüsselt)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API-Gateway validiert JWT, extrahiert tenant_id aus Token-Claims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Bei RAG-Anfrage: RAG-Service sucht relevante Dokumente in pgvector (isoliert pro Tenant)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LLM-Service leitet Anfrage + Kontext an Ollama weiter (lokales Modell)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Antwort wird per Server-Sent Events (Streaming) zurück an den Nutzer geliefert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Kein Prompt-Inhalt wird persistiert (DSGVO Art. 9, § 35 SGB I)</w:t>
      </w:r>
    </w:p>
    <w:p>
      <w:pPr>
        <w:spacing w:after="8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1.3  Mandantentrennung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Jeder DRK-Kreisverband ist ein eigenständiger Mandant (Tenant). Die Trennung wird auf zwei Ebenen durchgesetzt: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Datenbank: PostgreSQL Row-Level Security (RLS) mit tenant_id als Partition. Die Datenbankfunktion current_tenant_id() liest den Tenant ausschließlich aus der gesetzten Session-Variable, die ihrerseits aus dem validierten JWT-Token gespeist wird.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Vektordatenbank: pgvector-Einträge tragen tenant_id als Filterfeld. Suchanfragen des RAG-Service enthalten immer einen Tenant-Filter – ein Zugriff auf fremde Wissensdatenbanken ist auf Query-Ebene strukturell ausgeschlossen.</w:t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2  Hardware-Dimensionierung nach Betriebsszenario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Die Anforderungen des Lastenhefts (§ 6.1) schreiben eine Time-to-First-Token von unter 2 Sekunden vor. Dieser Wert ist bei lokal betriebenen LLMs maßgeblich durch die GPU-Leistung bestimmt. Die nachfolgende Dimensionierung geht vom Zielmodell Qwen2.5 32B in Q4-Quantisierung (ca. 18 GB VRAM) aus, das die beste Balance aus Antwortqualität und Geschwindigkeit für den Anwendungsfall bietet.</w:t>
      </w:r>
    </w:p>
    <w:p>
      <w:pPr>
        <w:spacing w:after="8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2.1  Szenario A – Pilot (1 Kreisverband)</w:t>
      </w:r>
    </w:p>
    <w:p>
      <w:pPr>
        <w:spacing w:after="60" w:before="100"/>
      </w:pPr>
      <w:r>
        <w:rPr>
          <w:rFonts w:ascii="Arial" w:cs="Arial" w:eastAsia="Arial" w:hAnsi="Arial"/>
          <w:i/>
          <w:iCs/>
          <w:color w:val="555555"/>
          <w:sz w:val="20"/>
          <w:szCs w:val="20"/>
        </w:rPr>
        <w:t xml:space="preserve">Tabelle 1: Hardware Szenario 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419"/>
        <w:gridCol w:w="4419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Komponente</w:t>
            </w:r>
          </w:p>
        </w:tc>
        <w:tc>
          <w:tcPr>
            <w:tcW w:type="dxa" w:w="24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Spezifikation</w:t>
            </w:r>
          </w:p>
        </w:tc>
        <w:tc>
          <w:tcPr>
            <w:tcW w:type="dxa" w:w="44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Hinweis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Server (1×)</w:t>
            </w:r>
          </w:p>
        </w:tc>
        <w:tc>
          <w:tcPr>
            <w:tcW w:type="dxa" w:w="24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32 CPU-Kerne, 128 GB RAM</w:t>
            </w:r>
          </w:p>
        </w:tc>
        <w:tc>
          <w:tcPr>
            <w:tcW w:type="dxa" w:w="44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z.B. Dell PowerEdge R750 oder HPE ProLiant DL380 Gen11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GPU</w:t>
            </w:r>
          </w:p>
        </w:tc>
        <w:tc>
          <w:tcPr>
            <w:tcW w:type="dxa" w:w="24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1× NVIDIA A10G (24 GB VRAM)</w:t>
            </w:r>
          </w:p>
        </w:tc>
        <w:tc>
          <w:tcPr>
            <w:tcW w:type="dxa" w:w="44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Alternativ: AMD MI210 (64 GB HBM2e) – mehr VRAM, geringer Takt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Storage</w:t>
            </w:r>
          </w:p>
        </w:tc>
        <w:tc>
          <w:tcPr>
            <w:tcW w:type="dxa" w:w="24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2 TB NVMe SSD</w:t>
            </w:r>
          </w:p>
        </w:tc>
        <w:tc>
          <w:tcPr>
            <w:tcW w:type="dxa" w:w="44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RAID 1 empfohlen; Modell-Daten (~20 GB) + pgvector-Index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Netzwerk</w:t>
            </w:r>
          </w:p>
        </w:tc>
        <w:tc>
          <w:tcPr>
            <w:tcW w:type="dxa" w:w="24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 GbE</w:t>
            </w:r>
          </w:p>
        </w:tc>
        <w:tc>
          <w:tcPr>
            <w:tcW w:type="dxa" w:w="44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Ausreichend für 20 gleichzeitige Nutzer bei lokalem Betrieb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Gleichzeitige Nutzer</w:t>
            </w:r>
          </w:p>
        </w:tc>
        <w:tc>
          <w:tcPr>
            <w:tcW w:type="dxa" w:w="24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~20</w:t>
            </w:r>
          </w:p>
        </w:tc>
        <w:tc>
          <w:tcPr>
            <w:tcW w:type="dxa" w:w="44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 Kreisverband, typischer Verwaltungsbetrieb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Betrieb</w:t>
            </w:r>
          </w:p>
        </w:tc>
        <w:tc>
          <w:tcPr>
            <w:tcW w:type="dxa" w:w="24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Docker Compose</w:t>
            </w:r>
          </w:p>
        </w:tc>
        <w:tc>
          <w:tcPr>
            <w:tcW w:type="dxa" w:w="44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Alle Services auf einem Server, kein Kubernetes erforderlich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2.2  Szenario B – Mittelbetrieb (5–10 Kreisverbände)</w:t>
      </w:r>
    </w:p>
    <w:p>
      <w:pPr>
        <w:spacing w:after="60" w:before="100"/>
      </w:pPr>
      <w:r>
        <w:rPr>
          <w:rFonts w:ascii="Arial" w:cs="Arial" w:eastAsia="Arial" w:hAnsi="Arial"/>
          <w:i/>
          <w:iCs/>
          <w:color w:val="555555"/>
          <w:sz w:val="20"/>
          <w:szCs w:val="20"/>
        </w:rPr>
        <w:t xml:space="preserve">Tabelle 2: Hardware Szenario B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419"/>
        <w:gridCol w:w="4419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Komponente</w:t>
            </w:r>
          </w:p>
        </w:tc>
        <w:tc>
          <w:tcPr>
            <w:tcW w:type="dxa" w:w="24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Spezifikation</w:t>
            </w:r>
          </w:p>
        </w:tc>
        <w:tc>
          <w:tcPr>
            <w:tcW w:type="dxa" w:w="44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Hinweis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LLM-Server (2×)</w:t>
            </w:r>
          </w:p>
        </w:tc>
        <w:tc>
          <w:tcPr>
            <w:tcW w:type="dxa" w:w="24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je 2× NVIDIA A10G oder 1× A100 80 GB</w:t>
            </w:r>
          </w:p>
        </w:tc>
        <w:tc>
          <w:tcPr>
            <w:tcW w:type="dxa" w:w="44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Multi-GPU-Betrieb erfordert Ollama-Parallelisierung (mehrere Instanzen)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App-Nodes (3×)</w:t>
            </w:r>
          </w:p>
        </w:tc>
        <w:tc>
          <w:tcPr>
            <w:tcW w:type="dxa" w:w="24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je 16 Kerne, 64 GB RAM</w:t>
            </w:r>
          </w:p>
        </w:tc>
        <w:tc>
          <w:tcPr>
            <w:tcW w:type="dxa" w:w="44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API-Gateway, RAG-Service, Admin-Service je als separate Nodes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DB-Server (1× dediziert)</w:t>
            </w:r>
          </w:p>
        </w:tc>
        <w:tc>
          <w:tcPr>
            <w:tcW w:type="dxa" w:w="24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32 Kerne, 256 GB RAM, NVMe RAID 10</w:t>
            </w:r>
          </w:p>
        </w:tc>
        <w:tc>
          <w:tcPr>
            <w:tcW w:type="dxa" w:w="44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PostgreSQL-Shared-Buffers = 64 GB; pgvector-Index im RAM halten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Storage gesamt</w:t>
            </w:r>
          </w:p>
        </w:tc>
        <w:tc>
          <w:tcPr>
            <w:tcW w:type="dxa" w:w="24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~10 TB (NVMe)</w:t>
            </w:r>
          </w:p>
        </w:tc>
        <w:tc>
          <w:tcPr>
            <w:tcW w:type="dxa" w:w="44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Dokument-Ablage, Backups, Modell-Daten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Netzwerk</w:t>
            </w:r>
          </w:p>
        </w:tc>
        <w:tc>
          <w:tcPr>
            <w:tcW w:type="dxa" w:w="24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10 GbE zwischen Nodes</w:t>
            </w:r>
          </w:p>
        </w:tc>
        <w:tc>
          <w:tcPr>
            <w:tcW w:type="dxa" w:w="44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Getrennte VLANs für DB-Traffic und Client-Traffic empfohlen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Gleichzeitige Nutzer</w:t>
            </w:r>
          </w:p>
        </w:tc>
        <w:tc>
          <w:tcPr>
            <w:tcW w:type="dxa" w:w="24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~100</w:t>
            </w:r>
          </w:p>
        </w:tc>
        <w:tc>
          <w:tcPr>
            <w:tcW w:type="dxa" w:w="44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5–10 Kreisverbände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Betrieb</w:t>
            </w:r>
          </w:p>
        </w:tc>
        <w:tc>
          <w:tcPr>
            <w:tcW w:type="dxa" w:w="24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K3s (leichtgewichtiges Kubernetes)</w:t>
            </w:r>
          </w:p>
        </w:tc>
        <w:tc>
          <w:tcPr>
            <w:tcW w:type="dxa" w:w="44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Automatisches Failover, Health Checks, Rolling Updates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2.3  Szenario C – Vollbetrieb (15 Kreisverbände)</w:t>
      </w:r>
    </w:p>
    <w:p>
      <w:pPr>
        <w:spacing w:after="60" w:before="100"/>
      </w:pPr>
      <w:r>
        <w:rPr>
          <w:rFonts w:ascii="Arial" w:cs="Arial" w:eastAsia="Arial" w:hAnsi="Arial"/>
          <w:i/>
          <w:iCs/>
          <w:color w:val="555555"/>
          <w:sz w:val="20"/>
          <w:szCs w:val="20"/>
        </w:rPr>
        <w:t xml:space="preserve">Tabelle 3: Hardware Szenario C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419"/>
        <w:gridCol w:w="4419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Komponente</w:t>
            </w:r>
          </w:p>
        </w:tc>
        <w:tc>
          <w:tcPr>
            <w:tcW w:type="dxa" w:w="24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Spezifikation</w:t>
            </w:r>
          </w:p>
        </w:tc>
        <w:tc>
          <w:tcPr>
            <w:tcW w:type="dxa" w:w="44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Hinweis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K8s Control Plane (3×)</w:t>
            </w:r>
          </w:p>
        </w:tc>
        <w:tc>
          <w:tcPr>
            <w:tcW w:type="dxa" w:w="24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je 8 Kerne, 32 GB RAM</w:t>
            </w:r>
          </w:p>
        </w:tc>
        <w:tc>
          <w:tcPr>
            <w:tcW w:type="dxa" w:w="44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HA-Cluster, etcd-Quorum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Worker Nodes (6×)</w:t>
            </w:r>
          </w:p>
        </w:tc>
        <w:tc>
          <w:tcPr>
            <w:tcW w:type="dxa" w:w="24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je 16 Kerne, 64 GB RAM</w:t>
            </w:r>
          </w:p>
        </w:tc>
        <w:tc>
          <w:tcPr>
            <w:tcW w:type="dxa" w:w="44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Pods für App-Services, dynamisch skalierbar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GPU-Pool</w:t>
            </w:r>
          </w:p>
        </w:tc>
        <w:tc>
          <w:tcPr>
            <w:tcW w:type="dxa" w:w="24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4× A10G oder 2× A100 80 GB</w:t>
            </w:r>
          </w:p>
        </w:tc>
        <w:tc>
          <w:tcPr>
            <w:tcW w:type="dxa" w:w="44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Ollama mit nvidia-device-plugin in Kubernetes; Queue-basierte Lastverteilung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DB-Cluster</w:t>
            </w:r>
          </w:p>
        </w:tc>
        <w:tc>
          <w:tcPr>
            <w:tcW w:type="dxa" w:w="24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Primary + 2 Read Replicas</w:t>
            </w:r>
          </w:p>
        </w:tc>
        <w:tc>
          <w:tcPr>
            <w:tcW w:type="dxa" w:w="44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Patroni oder Citus; automatisches Failover; pgvector auf Primary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Object Storage</w:t>
            </w:r>
          </w:p>
        </w:tc>
        <w:tc>
          <w:tcPr>
            <w:tcW w:type="dxa" w:w="24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MinIO (self-hosted)</w:t>
            </w:r>
          </w:p>
        </w:tc>
        <w:tc>
          <w:tcPr>
            <w:tcW w:type="dxa" w:w="44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S3-kompatibel für Dokument-Uploads; 3-Node-Cluster, 20 TB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Netzwerk</w:t>
            </w:r>
          </w:p>
        </w:tc>
        <w:tc>
          <w:tcPr>
            <w:tcW w:type="dxa" w:w="24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25 GbE Spine-Leaf</w:t>
            </w:r>
          </w:p>
        </w:tc>
        <w:tc>
          <w:tcPr>
            <w:tcW w:type="dxa" w:w="44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BGP zwischen Cluster-Nodes; dediziertes GPU-Fabric empfohlen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Gleichzeitige Nutzer</w:t>
            </w:r>
          </w:p>
        </w:tc>
        <w:tc>
          <w:tcPr>
            <w:tcW w:type="dxa" w:w="24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~250</w:t>
            </w:r>
          </w:p>
        </w:tc>
        <w:tc>
          <w:tcPr>
            <w:tcW w:type="dxa" w:w="44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Alle 15 Kreisverbände im Vollbetrieb</w:t>
            </w:r>
          </w:p>
        </w:tc>
      </w:tr>
    </w:tbl>
    <w:p>
      <w:r>
        <w:br w:type="page"/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3  Antwortzeit-Analyse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Das Lastenheft (§ 6.1) fordert eine Time-to-First-Token (TTFT) von unter 2 Sekunden. Dieser Wert beschreibt den Zeitraum zwischen Absenden der Nutzeranfrage und Erscheinen des ersten Ausgabetokens. Er ist für die wahrgenommene Reaktionszeit entscheidender als die Gesamtdauer der Antwortgenerierung, da Streaming-Ausgabe den Rest der Antwort kontinuierlich liefert.</w:t>
      </w:r>
    </w:p>
    <w:p>
      <w:pPr>
        <w:spacing w:after="8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3.1  Time-to-First-Token nach GPU-Klasse</w:t>
      </w:r>
    </w:p>
    <w:p>
      <w:pPr>
        <w:spacing w:after="60" w:before="100"/>
      </w:pPr>
      <w:r>
        <w:rPr>
          <w:rFonts w:ascii="Arial" w:cs="Arial" w:eastAsia="Arial" w:hAnsi="Arial"/>
          <w:i/>
          <w:iCs/>
          <w:color w:val="555555"/>
          <w:sz w:val="20"/>
          <w:szCs w:val="20"/>
        </w:rPr>
        <w:t xml:space="preserve">Tabelle 4: TTFT-Schätzwerte für Qwen2.5 32B Q4, Prompt ~500 Tokens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600"/>
        <w:gridCol w:w="1600"/>
        <w:gridCol w:w="1600"/>
        <w:gridCol w:w="2438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GPU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VRAM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TTFT (warm)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TTFT (kalt)</w:t>
            </w:r>
          </w:p>
        </w:tc>
        <w:tc>
          <w:tcPr>
            <w:tcW w:type="dxa" w:w="2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Parallelkapazität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NVIDIA A10G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24 GB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0,8–1,2 s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8–12 s*</w:t>
            </w:r>
          </w:p>
        </w:tc>
        <w:tc>
          <w:tcPr>
            <w:tcW w:type="dxa" w:w="2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1–2 gleichzeitige Anfragen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NVIDIA A100 SXM (80 GB)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80 GB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0,4–0,7 s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5–8 s*</w:t>
            </w:r>
          </w:p>
        </w:tc>
        <w:tc>
          <w:tcPr>
            <w:tcW w:type="dxa" w:w="2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3–5 gleichzeitige Anfragen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2× NVIDIA A10G (Multi-GPU)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2× 24 GB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0,6–0,9 s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8–12 s*</w:t>
            </w:r>
          </w:p>
        </w:tc>
        <w:tc>
          <w:tcPr>
            <w:tcW w:type="dxa" w:w="2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2–4 gleichzeitige Anfragen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CPU only (kein GPU)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–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15–40 s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30–60 s</w:t>
            </w:r>
          </w:p>
        </w:tc>
        <w:tc>
          <w:tcPr>
            <w:tcW w:type="dxa" w:w="2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Nicht SLA-konform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* Kaltstart: Modell muss von Disk in VRAM geladen werden. Vermeidbar durch Ollama keep_alive-Parameter (Modell im VRAM halten zwischen Anfragen).</w:t>
      </w:r>
    </w:p>
    <w:p>
      <w:pPr>
        <w:spacing w:after="8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3.2  Empfehlungen zur TTFT-Optimierung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keep_alive konfigurieren: Ollama-Parameter auf „-1“ setzen (Modell permanent im VRAM) oder auf ausreichend langen Zeitraum (z. B. 30 Minuten). Verhindert Kaltstart-Latenz bei Folgeanfragen.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Modell beim Service-Start vorladen: Ollama-API-Aufruf mit einem Dummy-Prompt beim Containerstart stellt sicher, dass das Modell beim ersten echten Nutzer-Request bereits warm ist.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Batch-Größe: Bei parallelen Anfragen Ollama-Parallelisierung (num_parallel) begrenzen, um TTFT stabil zu halten. Lieber zwei Anfragen sequenziell mit 1,2 s TTFT als vier parallel mit 4 s TTFT.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Streaming als Pflicht: Server-Sent Events ab erstem Token. Die wahrgenommene Wartezeit sinkt für den Nutzer auf TTFT, auch wenn die Gesamtantwort länger benötigt.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Kleineres Modell für einfache Aufgaben: Für Klassifikations- oder Extraktionsaufgaben (ohne Langtext-Generierung) kann ein 7B-Modell (Qwen2.5 7B, ~4 GB VRAM) parallel auf derselben GPU betrieben werden – TTFT dann unter 0,3 s.</w:t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4  Netzwerk-Anforderungen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4.1  Interne Bandbreite (Service-zu-Service)</w:t>
      </w:r>
    </w:p>
    <w:p>
      <w:pPr>
        <w:spacing w:after="60" w:before="100"/>
      </w:pPr>
      <w:r>
        <w:rPr>
          <w:rFonts w:ascii="Arial" w:cs="Arial" w:eastAsia="Arial" w:hAnsi="Arial"/>
          <w:i/>
          <w:iCs/>
          <w:color w:val="555555"/>
          <w:sz w:val="20"/>
          <w:szCs w:val="20"/>
        </w:rPr>
        <w:t xml:space="preserve">Tabelle 5: Interne Netzwerkanforderungen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2000"/>
        <w:gridCol w:w="4438"/>
      </w:tblGrid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Verbindung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Mindestbandbreite</w:t>
            </w:r>
          </w:p>
        </w:tc>
        <w:tc>
          <w:tcPr>
            <w:tcW w:type="dxa" w:w="4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Begründung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API-Gateway → LLM-Service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 GbE</w:t>
            </w:r>
          </w:p>
        </w:tc>
        <w:tc>
          <w:tcPr>
            <w:tcW w:type="dxa" w:w="4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Streaming-Antworten, typisch &lt; 1 MB/Anfrage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API-Gateway → RAG-Service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 GbE</w:t>
            </w:r>
          </w:p>
        </w:tc>
        <w:tc>
          <w:tcPr>
            <w:tcW w:type="dxa" w:w="4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Query + Kontext-Chunks, typisch &lt; 100 KB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RAG-Service → PostgreSQL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10 GbE empfohlen</w:t>
            </w:r>
          </w:p>
        </w:tc>
        <w:tc>
          <w:tcPr>
            <w:tcW w:type="dxa" w:w="4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pgvector-ANN-Suche über große Embedding-Tabellen, latenzempfindlich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LLM-Service → Ollama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10 GbE bei Multi-GPU</w:t>
            </w:r>
          </w:p>
        </w:tc>
        <w:tc>
          <w:tcPr>
            <w:tcW w:type="dxa" w:w="4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Große Modellgewichte zwischen Nodes (Multi-GPU-Splitting)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4.2  Nutzer-Anbindung (Kreisverband → Zentralserver)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Mindestbandbreite pro Kreisverband: 50 Mbit/s symmetrisch (ausreichend für 20 gleichzeitige Streaming-Sessions)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Empfohlen: 100 Mbit/s bei Vollbetrieb mit intensiver RAG-Nutzung (große Dokument-Downloads)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Latenz zurä Zentralinfrastruktur: Irrelevant für TTFT (dominiert durch GPU-Latenz), aber für Streaming-Qualität: &lt; 50 ms empfohlen</w:t>
      </w:r>
    </w:p>
    <w:p>
      <w:pPr>
        <w:spacing w:after="8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4.3  VPN / Netzwerksegmentierung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Wenn KV-übergreifend zentral betrieben: Site-to-Site-VPN zwischen Kreisverband-Standorten und Zentralrechenzentrum (WireGuard oder IPsec)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Alternativ: Dediziertes MPLS/SD-WAN über DRK-LV-MV-Backbone (abhängig von bestehender IT-Infrastruktur des DRK LV MV)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Netzwerksegmentierung im Cluster: Getrennte VLANs für Management-Traffic, DB-Traffic und Client-Traffic; Kubernetes NetworkPolicies verhindern cross-namespace Kommunikation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Firewall-Freigaben (Vorlaufzeit 4–8 Wochen einplanen): Port 443 (HTTPS), Port 8080 (Keycloak intern), keine direkten Datenbankports nach außen</w:t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5  Backup &amp; Verfügbarkeit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5.1  Ziel-SLAs</w:t>
      </w:r>
    </w:p>
    <w:p>
      <w:pPr>
        <w:spacing w:after="60" w:before="100"/>
      </w:pPr>
      <w:r>
        <w:rPr>
          <w:rFonts w:ascii="Arial" w:cs="Arial" w:eastAsia="Arial" w:hAnsi="Arial"/>
          <w:i/>
          <w:iCs/>
          <w:color w:val="555555"/>
          <w:sz w:val="20"/>
          <w:szCs w:val="20"/>
        </w:rPr>
        <w:t xml:space="preserve">Tabelle 6: Verfügbarkeits- und Recovery-Ziele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600"/>
        <w:gridCol w:w="1600"/>
        <w:gridCol w:w="4038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Komponente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RTO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RPO</w:t>
            </w:r>
          </w:p>
        </w:tc>
        <w:tc>
          <w:tcPr>
            <w:tcW w:type="dxa" w:w="40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Bemerkung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PostgreSQL (Sozialdaten)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4 Stunden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 Stunde</w:t>
            </w:r>
          </w:p>
        </w:tc>
        <w:tc>
          <w:tcPr>
            <w:tcW w:type="dxa" w:w="40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Point-in-Time-Recovery via WAL-Archivierung; Patroni-Failover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pgvector-Index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8 Stunden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24 Stunden</w:t>
            </w:r>
          </w:p>
        </w:tc>
        <w:tc>
          <w:tcPr>
            <w:tcW w:type="dxa" w:w="40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Index aus Dokumenten rekonstruierbar; kein harter Datenverlust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Dokument-Storage (MinIO)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4 Stunden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 Stunde</w:t>
            </w:r>
          </w:p>
        </w:tc>
        <w:tc>
          <w:tcPr>
            <w:tcW w:type="dxa" w:w="40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MinIO-Replikation zwischen Nodes; tägliches Offsite-Backup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App-Services (stateless)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&lt; 5 Minuten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n/a</w:t>
            </w:r>
          </w:p>
        </w:tc>
        <w:tc>
          <w:tcPr>
            <w:tcW w:type="dxa" w:w="40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Kubernetes Rolling Restart; kein persistenter State in App-Services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Ollama / LLM-Modelle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30 Minuten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n/a</w:t>
            </w:r>
          </w:p>
        </w:tc>
        <w:tc>
          <w:tcPr>
            <w:tcW w:type="dxa" w:w="40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Modelle aus Ollama-Hub nachladbar; Offline-Kopie im lokalen Storage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5.2  Backup-Strategie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PostgreSQL: Continuous WAL Archiving (pgBackRest oder Barman) + täglicher Base Backup; Aufbewahrung 30 Tage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Dokumente / MinIO: tägliches inkrementelles Backup auf separates NAS/JBOD; wochentliches Full Backup; Offsite-Replikation in zweites deutsches RZ empfohlen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Kubernetes-Konfiguration: GitOps (alle Manifeste in Git); Wiederherstellung aus Repository ohne Datenverlust möglich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Verschlüsselung Backups: AES-256; Schlüssel getrennt von Backup-Medien verwahren (Hardware Security Module oder separates Vault)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Backup-Tests: Monatlicher Restore-Test als Pflicht (Go-Live-Kriterium laut Lastenheft)</w:t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6  Kostenrahmen-Orientierung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Die nachfolgenden Werte sind Orientierungsrahmen auf Basis aktueller Listenpreise (Stand: Q2 2026) und erfahrungsbasierter Betriebskosten. Sie ersetzen kein verbindliches Angebot. Tatsächliche Kosten hängen von Ausschreibungsergebnissen, bestehender Infrastruktur und Supportverträgen ab.</w:t>
      </w:r>
    </w:p>
    <w:p>
      <w:pPr>
        <w:spacing w:after="8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6.1  Hardware-Investitionen (einmalig)</w:t>
      </w:r>
    </w:p>
    <w:p>
      <w:pPr>
        <w:spacing w:after="60" w:before="100"/>
      </w:pPr>
      <w:r>
        <w:rPr>
          <w:rFonts w:ascii="Arial" w:cs="Arial" w:eastAsia="Arial" w:hAnsi="Arial"/>
          <w:i/>
          <w:iCs/>
          <w:color w:val="555555"/>
          <w:sz w:val="20"/>
          <w:szCs w:val="20"/>
        </w:rPr>
        <w:t xml:space="preserve">Tabelle 7: Geschätzte Hardware-Einmalkosten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2000"/>
        <w:gridCol w:w="2000"/>
        <w:gridCol w:w="2438"/>
      </w:tblGrid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Komponente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Szenario A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Szenario B</w:t>
            </w:r>
          </w:p>
        </w:tc>
        <w:tc>
          <w:tcPr>
            <w:tcW w:type="dxa" w:w="2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Szenario C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Server-Hardware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20.000–30.000 €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80.000–120.000 €</w:t>
            </w:r>
          </w:p>
        </w:tc>
        <w:tc>
          <w:tcPr>
            <w:tcW w:type="dxa" w:w="2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180.000–260.000 €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GPU(s)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8.000–15.000 €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30.000–60.000 €</w:t>
            </w:r>
          </w:p>
        </w:tc>
        <w:tc>
          <w:tcPr>
            <w:tcW w:type="dxa" w:w="2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60.000–120.000 €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Storage &amp; Netzwerk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3.000–6.000 €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15.000–25.000 €</w:t>
            </w:r>
          </w:p>
        </w:tc>
        <w:tc>
          <w:tcPr>
            <w:tcW w:type="dxa" w:w="2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30.000–50.000 €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Installation &amp; Inbetriebnahme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5.000–10.000 €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15.000–25.000 €</w:t>
            </w:r>
          </w:p>
        </w:tc>
        <w:tc>
          <w:tcPr>
            <w:tcW w:type="dxa" w:w="2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25.000–40.000 €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Gesamtrahmen (Hardware)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36.000–61.000 €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140.000–230.000 €</w:t>
            </w:r>
          </w:p>
        </w:tc>
        <w:tc>
          <w:tcPr>
            <w:tcW w:type="dxa" w:w="2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295.000–470.000 €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6.2  Betrieb &amp; Wartung (jährlich, wiederkehrend)</w:t>
      </w:r>
    </w:p>
    <w:p>
      <w:pPr>
        <w:spacing w:after="60" w:before="100"/>
      </w:pPr>
      <w:r>
        <w:rPr>
          <w:rFonts w:ascii="Arial" w:cs="Arial" w:eastAsia="Arial" w:hAnsi="Arial"/>
          <w:i/>
          <w:iCs/>
          <w:color w:val="555555"/>
          <w:sz w:val="20"/>
          <w:szCs w:val="20"/>
        </w:rPr>
        <w:t xml:space="preserve">Tabelle 8: Geschätzte jährliche Betriebskosten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2000"/>
        <w:gridCol w:w="2000"/>
        <w:gridCol w:w="2438"/>
      </w:tblGrid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Position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Szenario A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Szenario B</w:t>
            </w:r>
          </w:p>
        </w:tc>
        <w:tc>
          <w:tcPr>
            <w:tcW w:type="dxa" w:w="2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Szenario C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Hardware-Wartung (3-Jahre-Vertrag)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2.000–3.000 €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8.000–15.000 €</w:t>
            </w:r>
          </w:p>
        </w:tc>
        <w:tc>
          <w:tcPr>
            <w:tcW w:type="dxa" w:w="2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18.000–30.000 €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RZ-Betrieb (Strom, Kühlung, Rack)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3.000–6.000 €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10.000–18.000 €</w:t>
            </w:r>
          </w:p>
        </w:tc>
        <w:tc>
          <w:tcPr>
            <w:tcW w:type="dxa" w:w="2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20.000–35.000 €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Software-Wartung &amp; Support (ST Computer)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nach Vereinbarung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nach Vereinbarung</w:t>
            </w:r>
          </w:p>
        </w:tc>
        <w:tc>
          <w:tcPr>
            <w:tcW w:type="dxa" w:w="2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nach Vereinbarung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Modell-Updates / LLM-Upgrading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1.000–2.000 €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2.000–5.000 €</w:t>
            </w:r>
          </w:p>
        </w:tc>
        <w:tc>
          <w:tcPr>
            <w:tcW w:type="dxa" w:w="2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5.000–10.000 €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Gesamtrahmen (Betrieb p.a.)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6.000–11.000 €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20.000–38.000 €</w:t>
            </w:r>
          </w:p>
        </w:tc>
        <w:tc>
          <w:tcPr>
            <w:tcW w:type="dxa" w:w="2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43.000–75.000 €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Hinweis: Bei zentralem Betrieb durch DRK LV MV mit Umlage auf Kreisverbände (15 KV): Betriebskosten pro Kreisverband ca. 2.900–5.000 €/Jahr (Szenario C). Vergleichskosten kommerzieller Cloud-KI-Dienste für vergleichbare Nutzungsintensität: 6.000–12.000 €/KV/Jahr, ohne Datenschutz-Eignung für Sozialdaten.</w:t>
      </w:r>
    </w:p>
    <w:p>
      <w:pPr>
        <w:spacing w:after="80"/>
      </w:pPr>
      <w:r>
        <w:t xml:space="preserve"/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7  Empfehlung für den Einstieg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Empfohlen wird ein zweistufiges Vorgehen: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rial" w:cs="Arial" w:eastAsia="Arial" w:hAnsi="Arial"/>
          <w:sz w:val="22"/>
          <w:szCs w:val="22"/>
        </w:rPr>
        <w:t xml:space="preserve">Stufe 1 – Pilot mit Szenario A: Ein Kreisverband, ein Server mit A10G GPU, Docker Compose. Ziel: Funktionalitätsnachweis, User-Acceptance-Testing, Messung realer TTFT und Nutzungsintensität. Dauer: 3–6 Monate.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Arial" w:cs="Arial" w:eastAsia="Arial" w:hAnsi="Arial"/>
          <w:sz w:val="22"/>
          <w:szCs w:val="22"/>
        </w:rPr>
        <w:t xml:space="preserve">Stufe 2 – Rollout mit Szenario B oder C: Auf Basis der Pilot-Messdaten Hardware-Dimensionierung präzisieren und stufenweise auf weitere Kreisverbände ausrollen. GPU-Pool nachrüsten nach Auslastungsdaten.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Kritischer Erfolgsfaktor: Das Modell muss beim Service-Start in den VRAM geladen und dauerhaft dort gehalten werden (Ollama keep_alive). Ohne diese Maßnahme ist das TTFT-Ziel von &lt; 2 s im Produktivbetrieb nicht verlässlich erreichbar.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2E75B6" w:sz="4" w:space="1"/>
      </w:pBdr>
      <w:jc w:val="right"/>
    </w:pPr>
    <w:r>
      <w:rPr>
        <w:rFonts w:ascii="Arial" w:cs="Arial" w:eastAsia="Arial" w:hAnsi="Arial"/>
        <w:color w:val="888888"/>
        <w:sz w:val="18"/>
        <w:szCs w:val="18"/>
      </w:rPr>
      <w:t xml:space="preserve">ST Computer GmbH  –  Vertraulich  –  Seite </w:t>
    </w:r>
    <w:r>
      <w:rPr>
        <w:rFonts w:ascii="Arial" w:cs="Arial" w:eastAsia="Arial" w:hAnsi="Arial"/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5B6" w:sz="4" w:space="1"/>
      </w:pBdr>
      <w:spacing w:after="0"/>
    </w:pPr>
    <w:r>
      <w:rPr>
        <w:rFonts w:ascii="Arial" w:cs="Arial" w:eastAsia="Arial" w:hAnsi="Arial"/>
        <w:color w:val="888888"/>
        <w:sz w:val="18"/>
        <w:szCs w:val="18"/>
      </w:rPr>
      <w:t xml:space="preserve">DRK MV KI-Plattform  |  Systemübersicht &amp; Hardware-Dimensionierung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Arial" w:cs="Arial" w:eastAsia="Arial" w:hAnsi="Arial"/>
      <w:b/>
      <w:bCs/>
      <w:color w:val="1F4E79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Arial" w:cs="Arial" w:eastAsia="Arial" w:hAnsi="Arial"/>
      <w:b/>
      <w:bCs/>
      <w:color w:val="2E75B6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Arial" w:cs="Arial" w:eastAsia="Arial" w:hAnsi="Arial"/>
      <w:b/>
      <w:bCs/>
      <w:color w:val="404040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6307f7a05da03b74a9e16d2bc04333b13f2a4a6c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2026-06-09T11:09:38.369Z</dcterms:created>
  <dcterms:modified xsi:type="dcterms:W3CDTF">2026-06-09T11:09:38.369Z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