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DRK MV KI-Plattform</w:t>
      </w:r>
    </w:p>
    <w:p>
      <w:pPr>
        <w:spacing w:after="600"/>
      </w:pPr>
      <w:r>
        <w:rPr>
          <w:rFonts w:ascii="Arial" w:cs="Arial" w:eastAsia="Arial" w:hAnsi="Arial"/>
          <w:color w:val="2E75B6"/>
          <w:sz w:val="34"/>
          <w:szCs w:val="34"/>
        </w:rPr>
        <w:t xml:space="preserve">Systemübersicht &amp; Hardware-Dimensionierung</w:t>
      </w:r>
    </w:p>
    <w:p>
      <w:pPr>
        <w:pBdr>
          <w:bottom w:val="single" w:color="2E75B6" w:sz="6" w:space="1"/>
        </w:pBdr>
        <w:spacing w:after="16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Auftraggeber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DRK Landesverband Mecklenburg-Vorpommern e.V.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Erstellt von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 Computer Gesellschaft für angewandte Informatik GmbH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Version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0.1.0  –  Juni 2026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Vertraulichkeit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Vertraulich – nur für autorisierte Empfänger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  Architektur-Überblick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DRK MV KI-Plattform ist als mandantenfähige, vollständig lokal betriebene KI-Lösung für die 15 DRK-Kreisverbände in Mecklenburg-Vorpommern konzipiert. Alle Datenverarbeitungskomponenten laufen on-premise oder in einer DSGVO-konformen Private Cloud ausschließlich in Deutschland. Kein Datenbyte verlässt die jeweilige Mandantengrenze ohne explizite technische und rechtliche Freigabe.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 Schichtenmodell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Abbildung 1: Systemschichten (Datenfluss von oben nach unten)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Nutzer (Browser / Tablet)  –  Open WebUI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HTTPS • OpenID Connect (Keycloak)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API-Gateway  (Port 8000)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JWT-Validierung • Tenant-Isolation • Request-Routing • Streaming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LLM-Service (8002)     RAG-Service (8001)     Admin-Service (8003)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Inferenz-Proxy • Dokument-Ingest &amp; Suche • Tenant- &amp; Nutzerverwaltung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Infrastruktur-Layer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Ollama (LLM) • PostgreSQL 16 + pgvector • Keycloak 24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 Datenfluss Chat-Anfrage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Eine typische Chat-Anfrage durchläuft folgende Stationen: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Nutzer sendet Nachricht über Open WebUI (TLS-verschlüsselt)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API-Gateway validiert JWT, extrahiert tenant_id aus Token-Claims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Bei RAG-Anfrage: RAG-Service sucht relevante Dokumente in pgvector (isoliert pro Tenant)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LLM-Service leitet Anfrage + Kontext an Ollama weiter (lokales Modell)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Antwort wird per Server-Sent Events (Streaming) zurück an den Nutzer geliefert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Kein Prompt-Inhalt wird persistiert (DSGVO Art. 9, § 35 SGB I)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  Mandantentrennung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Jeder DRK-Kreisverband ist ein eigenständiger Mandant (Tenant). Die Trennung wird auf zwei Ebenen durchgesetzt: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Datenbank: PostgreSQL Row-Level Security (RLS) mit tenant_id als Partition. Die Datenbankfunktion current_tenant_id() liest den Tenant ausschließlich aus der gesetzten Session-Variable, die ihrerseits aus dem validierten JWT-Token gespeist wird.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Vektordatenbank: pgvector-Einträge tragen tenant_id als Filterfeld. Suchanfragen des RAG-Service enthalten immer einen Tenant-Filter – ein Zugriff auf fremde Wissensdatenbanken ist auf Query-Ebene strukturell ausgeschlossen.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  Hardware-Dimensionierung nach Betriebsszenario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Anforderungen des Lastenhefts (§ 6.1) schreiben eine Time-to-First-Token von unter 2 Sekunden vor. Dieser Wert ist bei lokal betriebenen LLMs maßgeblich durch die GPU-Leistung bestimmt. Die nachfolgende Dimensionierung geht vom Zielmodell Qwen2.5 32B in Q4-Quantisierung (ca. 18 GB VRAM) aus, das die beste Balance aus Antwortqualität und Geschwindigkeit für den Anwendungsfall bietet.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Szenario A – Pilot (1 Kreisverband)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1: Hardware Szenario 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19"/>
        <w:gridCol w:w="44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Komponente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Spezifikation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Hinweis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Server (1×)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32 CPU-Kerne, 128 GB RAM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z.B. Dell PowerEdge R750 oder HPE ProLiant DL380 Gen11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GPU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1× NVIDIA A10G (24 GB VRAM)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Alternativ: AMD MI210 (64 GB HBM2e) – mehr VRAM, geringer Takt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Storage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 TB NVMe SSD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RAID 1 empfohlen; Modell-Daten (~20 GB) + pgvector-Index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Netzwerk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GbE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Ausreichend für 20 gleichzeitige Nutzer bei lokalem Betrieb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Gleichzeitige Nutzer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~20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Kreisverband, typischer Verwaltungsbetrieb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Betrieb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Services auf einem Server, kein Kubernetes erforderlich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 Szenario B – Mittelbetrieb (5–10 Kreisverbände)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2: Hardware Szenario 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19"/>
        <w:gridCol w:w="44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Komponente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Spezifikation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Hinweis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LLM-Server (2×)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 2× NVIDIA A10G oder 1× A100 80 GB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Multi-GPU-Betrieb erfordert Ollama-Parallelisierung (mehrere Instanzen)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App-Nodes (3×)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 16 Kerne, 64 GB RAM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API-Gateway, RAG-Service, Admin-Service je als separate Nodes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DB-Server (1× dediziert)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32 Kerne, 256 GB RAM, NVMe RAID 10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PostgreSQL-Shared-Buffers = 64 GB; pgvector-Index im RAM halten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Storage gesamt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~10 TB (NVMe)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Dokument-Ablage, Backups, Modell-Daten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Netzwerk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 GbE zwischen Nodes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Getrennte VLANs für DB-Traffic und Client-Traffic empfohlen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Gleichzeitige Nutzer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~100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5–10 Kreisverbände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Betrieb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K3s (leichtgewichtiges Kubernetes)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Automatisches Failover, Health Checks, Rolling Updates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 Szenario C – Vollbetrieb (15 Kreisverbände)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3: Hardware Szenario 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19"/>
        <w:gridCol w:w="44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Komponente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Spezifikation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Hinweis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K8s Control Plane (3×)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 8 Kerne, 32 GB RAM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HA-Cluster, etcd-Quorum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Worker Nodes (6×)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 16 Kerne, 64 GB RAM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Pods für App-Services, dynamisch skalierbar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GPU-Pool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4× A10G oder 2× A100 80 GB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Ollama mit nvidia-device-plugin in Kubernetes; Queue-basierte Lastverteilung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DB-Cluster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Primary + 2 Read Replicas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Patroni oder Citus; automatisches Failover; pgvector auf Primary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MinIO (self-hosted)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S3-kompatibel für Dokument-Uploads; 3-Node-Cluster, 20 TB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Netzwerk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 GbE Spine-Leaf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BGP zwischen Cluster-Nodes; dediziertes GPU-Fabric empfohlen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Gleichzeitige Nutzer</w:t>
            </w:r>
          </w:p>
        </w:tc>
        <w:tc>
          <w:tcPr>
            <w:tcW w:type="dxa" w:w="2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~250</w:t>
            </w:r>
          </w:p>
        </w:tc>
        <w:tc>
          <w:tcPr>
            <w:tcW w:type="dxa" w:w="44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Alle 15 Kreisverbände im Vollbetrieb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  Antwortzeit-Analyse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Das Lastenheft (§ 6.1) fordert eine Time-to-First-Token (TTFT) von unter 2 Sekunden. Dieser Wert beschreibt den Zeitraum zwischen Absenden der Nutzeranfrage und Erscheinen des ersten Ausgabetokens. Er ist für die wahrgenommene Reaktionszeit entscheidender als die Gesamtdauer der Antwortgenerierung, da Streaming-Ausgabe den Rest der Antwort kontinuierlich liefert.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 Time-to-First-Token nach GPU-Klasse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4: TTFT-Schätzwerte für Qwen2.5 32B Q4, Prompt ~500 Tokens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600"/>
        <w:gridCol w:w="1600"/>
        <w:gridCol w:w="24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GPU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VRAM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TTFT (warm)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TTFT (kalt)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Parallelkapazität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NVIDIA A10G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 GB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0,8–1,2 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8–12 s*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1–2 gleichzeitige Anfragen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NVIDIA A100 SXM (80 GB)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80 GB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0,4–0,7 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5–8 s*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3–5 gleichzeitige Anfragen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2× NVIDIA A10G (Multi-GPU)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2× 24 GB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0,6–0,9 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8–12 s*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2–4 gleichzeitige Anfragen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CPU only (kein GPU)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–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15–40 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30–60 s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Nicht SLA-konform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* Kaltstart: Modell muss von Disk in VRAM geladen werden. Vermeidbar durch Ollama keep_alive-Parameter (Modell im VRAM halten zwischen Anfragen).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 Empfehlungen zur TTFT-Optimierung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keep_alive konfigurieren: Ollama-Parameter auf „-1“ setzen (Modell permanent im VRAM) oder auf ausreichend langen Zeitraum (z. B. 30 Minuten). Verhindert Kaltstart-Latenz bei Folgeanfragen.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Modell beim Service-Start vorladen: Ollama-API-Aufruf mit einem Dummy-Prompt beim Containerstart stellt sicher, dass das Modell beim ersten echten Nutzer-Request bereits warm 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Batch-Größe: Bei parallelen Anfragen Ollama-Parallelisierung (num_parallel) begrenzen, um TTFT stabil zu halten. Lieber zwei Anfragen sequenziell mit 1,2 s TTFT als vier parallel mit 4 s TTFT.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Streaming als Pflicht: Server-Sent Events ab erstem Token. Die wahrgenommene Wartezeit sinkt für den Nutzer auf TTFT, auch wenn die Gesamtantwort länger benötigt.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Kleineres Modell für einfache Aufgaben: Für Klassifikations- oder Extraktionsaufgaben (ohne Langtext-Generierung) kann ein 7B-Modell (Qwen2.5 7B, ~4 GB VRAM) parallel auf derselben GPU betrieben werden – TTFT dann unter 0,3 s.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  Netzwerk-Anforderungen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 Interne Bandbreite (Service-zu-Service)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5: Interne Netzwerkanforderungen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Verbindung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Mindestbandbreite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Begründung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API-Gateway → LLM-Service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GbE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Streaming-Antworten, typisch &lt; 1 MB/Anfrage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API-Gateway → RAG-Service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GbE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Query + Kontext-Chunks, typisch &lt; 100 KB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RAG-Service → PostgreSQL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 GbE empfohlen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pgvector-ANN-Suche über große Embedding-Tabellen, latenzempfindlich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LLM-Service → Ollama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 GbE bei Multi-GPU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Große Modellgewichte zwischen Nodes (Multi-GPU-Splitting)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 Nutzer-Anbindung (Kreisverband → Zentralserver)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Mindestbandbreite pro Kreisverband: 50 Mbit/s symmetrisch (ausreichend für 20 gleichzeitige Streaming-Sessions)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Empfohlen: 100 Mbit/s bei Vollbetrieb mit intensiver RAG-Nutzung (große Dokument-Downloads)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Latenz zurä Zentralinfrastruktur: Irrelevant für TTFT (dominiert durch GPU-Latenz), aber für Streaming-Qualität: &lt; 50 ms empfohlen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 VPN / Netzwerksegmentierung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Wenn KV-übergreifend zentral betrieben: Site-to-Site-VPN zwischen Kreisverband-Standorten und Zentralrechenzentrum (WireGuard oder IPsec)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Alternativ: Dediziertes MPLS/SD-WAN über DRK-LV-MV-Backbone (abhängig von bestehender IT-Infrastruktur des DRK LV MV)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Netzwerksegmentierung im Cluster: Getrennte VLANs für Management-Traffic, DB-Traffic und Client-Traffic; Kubernetes NetworkPolicies verhindern cross-namespace Kommunikation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Firewall-Freigaben (Vorlaufzeit 4–8 Wochen einplanen): Port 443 (HTTPS), Port 8080 (Keycloak intern), keine direkten Datenbankports nach außen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  Backup &amp; Verfügbarkeit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 Ziel-SLAs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6: Verfügbarkeits- und Recovery-Ziele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600"/>
        <w:gridCol w:w="40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Komponente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RPO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Bemerkung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 (Sozialdaten)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 Stunden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Stunde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Point-in-Time-Recovery via WAL-Archivierung; Patroni-Failover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pgvector-Index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 Stunden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 Stunden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Index aus Dokumenten rekonstruierbar; kein harter Datenverlust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Dokument-Storage (MinIO)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 Stunden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Stunde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MinIO-Replikation zwischen Nodes; tägliches Offsite-Backup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App-Services (stateless)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5 Minuten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Kubernetes Rolling Restart; kein persistenter State in App-Services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Ollama / LLM-Modelle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 Minuten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Modelle aus Ollama-Hub nachladbar; Offline-Kopie im lokalen Storage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 Backup-Strategie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PostgreSQL: Continuous WAL Archiving (pgBackRest oder Barman) + täglicher Base Backup; Aufbewahrung 30 Tage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Dokumente / MinIO: tägliches inkrementelles Backup auf separates NAS/JBOD; wochentliches Full Backup; Offsite-Replikation in zweites deutsches RZ empfohlen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Kubernetes-Konfiguration: GitOps (alle Manifeste in Git); Wiederherstellung aus Repository ohne Datenverlust möglich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Verschlüsselung Backups: AES-256; Schlüssel getrennt von Backup-Medien verwahren (Hardware Security Module oder separates Vault)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Backup-Tests: Monatlicher Restore-Test als Pflicht (Go-Live-Kriterium laut Lastenheft)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  Kostenrahmen-Orientierung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nachfolgenden Werte sind Orientierungsrahmen auf Basis aktueller Listenpreise (Stand: Q2 2026) und erfahrungsbasierter Betriebskosten. Sie ersetzen kein verbindliches Angebot. Tatsächliche Kosten hängen von Ausschreibungsergebnissen, bestehender Infrastruktur und Supportverträgen ab.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 Hardware-Investitionen (einmalig)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7: Geschätzte Hardware-Einmalkosten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2000"/>
        <w:gridCol w:w="2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Komponente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B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C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Server-Hardware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20.000–30.000 €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80.000–120.000 €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180.000–260.000 €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GPU(s)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8.000–15.000 €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30.000–60.000 €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60.000–120.000 €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Storage &amp; Netzwerk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3.000–6.000 €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15.000–25.000 €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30.000–50.000 €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Installation &amp; Inbetriebnahme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5.000–10.000 €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15.000–25.000 €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25.000–40.000 €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Gesamtrahmen (Hardware)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36.000–61.000 €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140.000–230.000 €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295.000–470.000 €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 Betrieb &amp; Wartung (jährlich, wiederkehrend)</w:t>
      </w:r>
    </w:p>
    <w:p>
      <w:pPr>
        <w:spacing w:after="60" w:before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Tabelle 8: Geschätzte jährliche Betriebskosten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2000"/>
        <w:gridCol w:w="2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Position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B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Szenario C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Hardware-Wartung (3-Jahre-Vertrag)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2.000–3.000 €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8.000–15.000 €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18.000–30.000 €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RZ-Betrieb (Strom, Kühlung, Rack)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3.000–6.000 €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10.000–18.000 €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20.000–35.000 €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Software-Wartung &amp; Support (ST Computer)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nach Vereinbarung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nach Vereinbarung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nach Vereinbarung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Modell-Updates / LLM-Upgrading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1.000–2.000 €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2.000–5.000 €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5.000–10.000 €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Gesamtrahmen (Betrieb p.a.)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6.000–11.000 €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20.000–38.000 €</w:t>
            </w:r>
          </w:p>
        </w:tc>
        <w:tc>
          <w:tcPr>
            <w:tcW w:type="dxa" w:w="2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43.000–75.000 €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Hinweis: Bei zentralem Betrieb durch DRK LV MV mit Umlage auf Kreisverbände (15 KV): Betriebskosten pro Kreisverband ca. 2.900–5.000 €/Jahr (Szenario C). Vergleichskosten kommerzieller Cloud-KI-Dienste für vergleichbare Nutzungsintensität: 6.000–12.000 €/KV/Jahr, ohne Datenschutz-Eignung für Sozialdaten.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  Empfehlung für den Einstieg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Empfohlen wird ein zweistufiges Vorgehen: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Stufe 1 – Pilot mit Szenario A: Ein Kreisverband, ein Server mit A10G GPU, Docker Compose. Ziel: Funktionalitätsnachweis, User-Acceptance-Testing, Messung realer TTFT und Nutzungsintensität. Dauer: 3–6 Monate.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Stufe 2 – Rollout mit Szenario B oder C: Auf Basis der Pilot-Messdaten Hardware-Dimensionierung präzisieren und stufenweise auf weitere Kreisverbände ausrollen. GPU-Pool nachrüsten nach Auslastungsdaten.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Kritischer Erfolgsfaktor: Das Modell muss beim Service-Start in den VRAM geladen und dauerhaft dort gehalten werden (Ollama keep_alive). Ohne diese Maßnahme ist das TTFT-Ziel von &lt; 2 s im Produktivbetrieb nicht verlässlich erreichbar.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ST Computer GmbH  –  Vertraulich  –  Seite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spacing w:after="0"/>
    </w:pPr>
    <w:r>
      <w:rPr>
        <w:rFonts w:ascii="Arial" w:cs="Arial" w:eastAsia="Arial" w:hAnsi="Arial"/>
        <w:color w:val="888888"/>
        <w:sz w:val="18"/>
        <w:szCs w:val="18"/>
      </w:rPr>
      <w:t xml:space="preserve">DRK MV KI-Plattform  |  Systemübersicht &amp; Hardware-Dimensionierung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2026-06-09T10:54:37.103Z</dcterms:created>
  <dcterms:modified xsi:type="dcterms:W3CDTF">2026-06-09T10:54:37.104Z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