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8E" w:rsidRDefault="00E55B09" w:rsidP="00370A23">
      <w:pPr>
        <w:spacing w:after="0"/>
        <w:jc w:val="center"/>
        <w:rPr>
          <w:rFonts w:cstheme="minorHAnsi"/>
          <w:color w:val="000099"/>
        </w:rPr>
      </w:pPr>
      <w:r>
        <w:rPr>
          <w:noProof/>
          <w:color w:val="000099"/>
          <w:sz w:val="80"/>
          <w:szCs w:val="80"/>
        </w:rPr>
        <w:drawing>
          <wp:inline distT="0" distB="0" distL="0" distR="0" wp14:anchorId="79AE77B1" wp14:editId="3532ACD3">
            <wp:extent cx="6848856" cy="996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85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71" w:rsidRDefault="009F0871" w:rsidP="00891D8E">
      <w:pPr>
        <w:spacing w:after="0"/>
        <w:rPr>
          <w:rFonts w:cstheme="minorHAnsi"/>
        </w:rPr>
      </w:pPr>
      <w:bookmarkStart w:id="0" w:name="_GoBack"/>
      <w:bookmarkEnd w:id="0"/>
    </w:p>
    <w:p w:rsidR="000220F6" w:rsidRDefault="000220F6" w:rsidP="000220F6">
      <w:pPr>
        <w:jc w:val="center"/>
      </w:pPr>
      <w:r>
        <w:rPr>
          <w:noProof/>
        </w:rPr>
        <w:drawing>
          <wp:inline distT="0" distB="0" distL="0" distR="0" wp14:anchorId="38A940A7" wp14:editId="50221EEF">
            <wp:extent cx="57912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F6" w:rsidRPr="000220F6" w:rsidRDefault="000220F6" w:rsidP="000220F6">
      <w:pPr>
        <w:rPr>
          <w:b/>
          <w:color w:val="000066"/>
        </w:rPr>
      </w:pPr>
      <w:r w:rsidRPr="000220F6">
        <w:rPr>
          <w:b/>
          <w:color w:val="000066"/>
        </w:rPr>
        <w:t xml:space="preserve">The primary objective of </w:t>
      </w:r>
      <w:r w:rsidR="00370A23">
        <w:rPr>
          <w:b/>
          <w:color w:val="000066"/>
        </w:rPr>
        <w:t>Hemmer Management Group (</w:t>
      </w:r>
      <w:r w:rsidRPr="000220F6">
        <w:rPr>
          <w:b/>
          <w:color w:val="000066"/>
        </w:rPr>
        <w:t>HMG</w:t>
      </w:r>
      <w:r w:rsidR="00370A23">
        <w:rPr>
          <w:b/>
          <w:color w:val="000066"/>
        </w:rPr>
        <w:t>)</w:t>
      </w:r>
      <w:r w:rsidRPr="000220F6">
        <w:rPr>
          <w:b/>
          <w:color w:val="000066"/>
        </w:rPr>
        <w:t xml:space="preserve"> is to provide professional commercial real estate services with the focus on providing value and responsive service to the tenants and investors that we serve.</w:t>
      </w:r>
    </w:p>
    <w:p w:rsidR="000220F6" w:rsidRPr="005F675C" w:rsidRDefault="000220F6" w:rsidP="00370A23">
      <w:pPr>
        <w:jc w:val="center"/>
        <w:rPr>
          <w:b/>
          <w:color w:val="000066"/>
        </w:rPr>
      </w:pPr>
      <w:r w:rsidRPr="005F675C">
        <w:rPr>
          <w:b/>
          <w:color w:val="000066"/>
        </w:rPr>
        <w:t>The HMG advantages include:</w:t>
      </w:r>
    </w:p>
    <w:tbl>
      <w:tblPr>
        <w:tblStyle w:val="TableGrid"/>
        <w:tblW w:w="0" w:type="auto"/>
        <w:tblInd w:w="982" w:type="dxa"/>
        <w:tblLook w:val="04A0" w:firstRow="1" w:lastRow="0" w:firstColumn="1" w:lastColumn="0" w:noHBand="0" w:noVBand="1"/>
      </w:tblPr>
      <w:tblGrid>
        <w:gridCol w:w="2954"/>
        <w:gridCol w:w="2960"/>
        <w:gridCol w:w="2942"/>
      </w:tblGrid>
      <w:tr w:rsidR="00370A23" w:rsidRPr="00E605B6" w:rsidTr="00A957AB">
        <w:tc>
          <w:tcPr>
            <w:tcW w:w="2954" w:type="dxa"/>
          </w:tcPr>
          <w:p w:rsidR="00370A23" w:rsidRPr="00E605B6" w:rsidRDefault="00370A23" w:rsidP="007C76B0">
            <w:pPr>
              <w:pStyle w:val="ListParagraph"/>
              <w:numPr>
                <w:ilvl w:val="0"/>
                <w:numId w:val="1"/>
              </w:numPr>
              <w:spacing w:after="120"/>
              <w:ind w:left="8" w:hanging="8"/>
              <w:rPr>
                <w:b/>
              </w:rPr>
            </w:pPr>
            <w:r w:rsidRPr="00E605B6">
              <w:rPr>
                <w:b/>
              </w:rPr>
              <w:t>Local Knowledge</w:t>
            </w:r>
          </w:p>
        </w:tc>
        <w:tc>
          <w:tcPr>
            <w:tcW w:w="2960" w:type="dxa"/>
          </w:tcPr>
          <w:p w:rsidR="00370A23" w:rsidRPr="00E605B6" w:rsidRDefault="00370A23" w:rsidP="00370A23">
            <w:pPr>
              <w:pStyle w:val="ListParagraph"/>
              <w:numPr>
                <w:ilvl w:val="0"/>
                <w:numId w:val="1"/>
              </w:numPr>
              <w:spacing w:after="120"/>
              <w:ind w:left="0" w:firstLine="0"/>
              <w:rPr>
                <w:b/>
              </w:rPr>
            </w:pPr>
            <w:r w:rsidRPr="00E605B6">
              <w:rPr>
                <w:b/>
              </w:rPr>
              <w:t>Responsive</w:t>
            </w:r>
          </w:p>
        </w:tc>
        <w:tc>
          <w:tcPr>
            <w:tcW w:w="2942" w:type="dxa"/>
          </w:tcPr>
          <w:p w:rsidR="00370A23" w:rsidRPr="00E605B6" w:rsidRDefault="00370A23" w:rsidP="00370A23">
            <w:pPr>
              <w:pStyle w:val="ListParagraph"/>
              <w:numPr>
                <w:ilvl w:val="0"/>
                <w:numId w:val="1"/>
              </w:numPr>
              <w:spacing w:after="120"/>
              <w:ind w:left="0" w:firstLine="0"/>
              <w:rPr>
                <w:b/>
              </w:rPr>
            </w:pPr>
            <w:r w:rsidRPr="00E605B6">
              <w:rPr>
                <w:b/>
              </w:rPr>
              <w:t>Flexible</w:t>
            </w:r>
          </w:p>
        </w:tc>
      </w:tr>
      <w:tr w:rsidR="00370A23" w:rsidRPr="00E605B6" w:rsidTr="00A957AB">
        <w:tc>
          <w:tcPr>
            <w:tcW w:w="2954" w:type="dxa"/>
          </w:tcPr>
          <w:p w:rsidR="00370A23" w:rsidRPr="00E605B6" w:rsidRDefault="00370A23" w:rsidP="00370A23">
            <w:pPr>
              <w:pStyle w:val="ListParagraph"/>
              <w:numPr>
                <w:ilvl w:val="0"/>
                <w:numId w:val="1"/>
              </w:numPr>
              <w:spacing w:after="120"/>
              <w:ind w:hanging="720"/>
              <w:rPr>
                <w:b/>
              </w:rPr>
            </w:pPr>
            <w:r w:rsidRPr="00E605B6">
              <w:rPr>
                <w:b/>
              </w:rPr>
              <w:t>Experience</w:t>
            </w:r>
          </w:p>
        </w:tc>
        <w:tc>
          <w:tcPr>
            <w:tcW w:w="2960" w:type="dxa"/>
          </w:tcPr>
          <w:p w:rsidR="00370A23" w:rsidRPr="00E605B6" w:rsidRDefault="00370A23" w:rsidP="00370A23">
            <w:pPr>
              <w:pStyle w:val="ListParagraph"/>
              <w:numPr>
                <w:ilvl w:val="0"/>
                <w:numId w:val="1"/>
              </w:numPr>
              <w:spacing w:after="120"/>
              <w:ind w:left="0" w:firstLine="0"/>
              <w:rPr>
                <w:b/>
              </w:rPr>
            </w:pPr>
            <w:r w:rsidRPr="00E605B6">
              <w:rPr>
                <w:b/>
              </w:rPr>
              <w:t>Honest</w:t>
            </w:r>
          </w:p>
        </w:tc>
        <w:tc>
          <w:tcPr>
            <w:tcW w:w="2942" w:type="dxa"/>
          </w:tcPr>
          <w:p w:rsidR="00370A23" w:rsidRPr="00E605B6" w:rsidRDefault="00370A23" w:rsidP="00370A23">
            <w:pPr>
              <w:pStyle w:val="ListParagraph"/>
              <w:numPr>
                <w:ilvl w:val="0"/>
                <w:numId w:val="1"/>
              </w:numPr>
              <w:spacing w:after="120"/>
              <w:ind w:left="0" w:firstLine="0"/>
              <w:rPr>
                <w:b/>
              </w:rPr>
            </w:pPr>
            <w:r w:rsidRPr="00E605B6">
              <w:rPr>
                <w:b/>
              </w:rPr>
              <w:t>Creative</w:t>
            </w:r>
          </w:p>
        </w:tc>
      </w:tr>
      <w:tr w:rsidR="00370A23" w:rsidRPr="00E605B6" w:rsidTr="00A957AB">
        <w:tc>
          <w:tcPr>
            <w:tcW w:w="2954" w:type="dxa"/>
          </w:tcPr>
          <w:p w:rsidR="00370A23" w:rsidRPr="00E605B6" w:rsidRDefault="00370A23" w:rsidP="00370A23">
            <w:pPr>
              <w:pStyle w:val="ListParagraph"/>
              <w:numPr>
                <w:ilvl w:val="0"/>
                <w:numId w:val="1"/>
              </w:numPr>
              <w:spacing w:after="120"/>
              <w:ind w:left="0" w:firstLine="0"/>
              <w:rPr>
                <w:b/>
              </w:rPr>
            </w:pPr>
            <w:r w:rsidRPr="00E605B6">
              <w:rPr>
                <w:b/>
              </w:rPr>
              <w:t>Well Connected</w:t>
            </w:r>
          </w:p>
        </w:tc>
        <w:tc>
          <w:tcPr>
            <w:tcW w:w="2960" w:type="dxa"/>
          </w:tcPr>
          <w:p w:rsidR="00370A23" w:rsidRPr="00E605B6" w:rsidRDefault="00370A23" w:rsidP="00370A23">
            <w:pPr>
              <w:pStyle w:val="ListParagraph"/>
              <w:numPr>
                <w:ilvl w:val="0"/>
                <w:numId w:val="1"/>
              </w:numPr>
              <w:spacing w:after="120"/>
              <w:ind w:left="0" w:firstLine="0"/>
              <w:rPr>
                <w:b/>
              </w:rPr>
            </w:pPr>
            <w:r w:rsidRPr="00E605B6">
              <w:rPr>
                <w:b/>
              </w:rPr>
              <w:t>Integrity</w:t>
            </w:r>
          </w:p>
        </w:tc>
        <w:tc>
          <w:tcPr>
            <w:tcW w:w="2942" w:type="dxa"/>
          </w:tcPr>
          <w:p w:rsidR="00370A23" w:rsidRPr="00E605B6" w:rsidRDefault="00370A23" w:rsidP="00370A23">
            <w:pPr>
              <w:pStyle w:val="ListParagraph"/>
              <w:numPr>
                <w:ilvl w:val="0"/>
                <w:numId w:val="1"/>
              </w:numPr>
              <w:spacing w:after="120"/>
              <w:ind w:left="0" w:firstLine="0"/>
              <w:rPr>
                <w:b/>
              </w:rPr>
            </w:pPr>
            <w:r w:rsidRPr="00E605B6">
              <w:rPr>
                <w:b/>
              </w:rPr>
              <w:t>Resources</w:t>
            </w:r>
          </w:p>
        </w:tc>
      </w:tr>
    </w:tbl>
    <w:p w:rsidR="000220F6" w:rsidRPr="00E605B6" w:rsidRDefault="000220F6" w:rsidP="000220F6">
      <w:pPr>
        <w:rPr>
          <w:b/>
          <w:color w:val="00006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860"/>
        <w:gridCol w:w="5400"/>
      </w:tblGrid>
      <w:tr w:rsidR="00370A23" w:rsidRPr="00E605B6" w:rsidTr="00E605B6">
        <w:tc>
          <w:tcPr>
            <w:tcW w:w="4860" w:type="dxa"/>
          </w:tcPr>
          <w:p w:rsidR="00370A23" w:rsidRPr="00E605B6" w:rsidRDefault="00370A23" w:rsidP="00370A23">
            <w:pPr>
              <w:spacing w:after="120"/>
              <w:jc w:val="center"/>
              <w:rPr>
                <w:b/>
                <w:color w:val="000066"/>
              </w:rPr>
            </w:pPr>
            <w:r w:rsidRPr="00E605B6">
              <w:rPr>
                <w:b/>
                <w:color w:val="000066"/>
              </w:rPr>
              <w:t>Client &amp; Investor Focus</w:t>
            </w:r>
          </w:p>
          <w:p w:rsidR="00370A23" w:rsidRPr="00E605B6" w:rsidRDefault="00370A23" w:rsidP="00E605B6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990"/>
                <w:tab w:val="num" w:pos="342"/>
              </w:tabs>
              <w:spacing w:after="120"/>
              <w:ind w:left="342" w:right="600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Maximize revenues</w:t>
            </w:r>
          </w:p>
          <w:p w:rsidR="00370A23" w:rsidRPr="00E605B6" w:rsidRDefault="00370A23" w:rsidP="00E605B6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990"/>
                <w:tab w:val="num" w:pos="342"/>
              </w:tabs>
              <w:spacing w:after="120"/>
              <w:ind w:left="342" w:right="600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Minimize operating expenses</w:t>
            </w:r>
          </w:p>
          <w:p w:rsidR="00370A23" w:rsidRPr="00E605B6" w:rsidRDefault="00370A23" w:rsidP="00E605B6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990"/>
                <w:tab w:val="num" w:pos="342"/>
              </w:tabs>
              <w:spacing w:after="120"/>
              <w:ind w:left="342" w:right="600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Maximize net operating income</w:t>
            </w:r>
          </w:p>
          <w:p w:rsidR="00370A23" w:rsidRPr="00E605B6" w:rsidRDefault="00370A23" w:rsidP="00E605B6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990"/>
                <w:tab w:val="num" w:pos="342"/>
              </w:tabs>
              <w:spacing w:after="120"/>
              <w:ind w:left="342" w:right="600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Maximize cash-flow and property value</w:t>
            </w:r>
          </w:p>
          <w:p w:rsidR="00370A23" w:rsidRPr="00E605B6" w:rsidRDefault="00370A23" w:rsidP="00E605B6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990"/>
                <w:tab w:val="num" w:pos="342"/>
              </w:tabs>
              <w:spacing w:after="120"/>
              <w:ind w:left="342" w:right="600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Maximize return on investment</w:t>
            </w:r>
          </w:p>
          <w:p w:rsidR="00370A23" w:rsidRPr="00E605B6" w:rsidRDefault="00370A23" w:rsidP="00E605B6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990"/>
                <w:tab w:val="num" w:pos="342"/>
              </w:tabs>
              <w:spacing w:after="120"/>
              <w:ind w:left="342" w:right="600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Meet or exceed expectations</w:t>
            </w:r>
          </w:p>
        </w:tc>
        <w:tc>
          <w:tcPr>
            <w:tcW w:w="5400" w:type="dxa"/>
          </w:tcPr>
          <w:p w:rsidR="00370A23" w:rsidRPr="00E605B6" w:rsidRDefault="00370A23" w:rsidP="00370A23">
            <w:pPr>
              <w:spacing w:after="120"/>
              <w:jc w:val="center"/>
              <w:rPr>
                <w:b/>
                <w:color w:val="000066"/>
              </w:rPr>
            </w:pPr>
            <w:r w:rsidRPr="00E605B6">
              <w:rPr>
                <w:b/>
                <w:color w:val="000066"/>
              </w:rPr>
              <w:t>Tenant Focus</w:t>
            </w:r>
          </w:p>
          <w:p w:rsidR="00370A23" w:rsidRPr="00E605B6" w:rsidRDefault="00370A23" w:rsidP="007C76B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342"/>
              </w:tabs>
              <w:spacing w:after="120"/>
              <w:ind w:left="342" w:right="75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Minimize expenses while maintaining service level</w:t>
            </w:r>
          </w:p>
          <w:p w:rsidR="00370A23" w:rsidRPr="00E605B6" w:rsidRDefault="00370A23" w:rsidP="007C76B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342"/>
              </w:tabs>
              <w:spacing w:after="120"/>
              <w:ind w:left="342" w:right="75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Flexibility &amp; creative solutions for tenant’s needs</w:t>
            </w:r>
          </w:p>
          <w:p w:rsidR="00370A23" w:rsidRPr="00E605B6" w:rsidRDefault="00370A23" w:rsidP="007C76B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342"/>
              </w:tabs>
              <w:spacing w:after="120"/>
              <w:ind w:left="342" w:right="75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Responsive service</w:t>
            </w:r>
          </w:p>
          <w:p w:rsidR="00370A23" w:rsidRPr="00E605B6" w:rsidRDefault="00370A23" w:rsidP="007C76B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342"/>
              </w:tabs>
              <w:spacing w:after="120"/>
              <w:ind w:left="342" w:right="75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Follow through and follow-up</w:t>
            </w:r>
          </w:p>
          <w:p w:rsidR="00370A23" w:rsidRPr="00E605B6" w:rsidRDefault="00370A23" w:rsidP="007C76B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342"/>
              </w:tabs>
              <w:spacing w:after="120"/>
              <w:ind w:left="342" w:right="75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Well maintained properties</w:t>
            </w:r>
          </w:p>
          <w:p w:rsidR="00370A23" w:rsidRPr="00E605B6" w:rsidRDefault="00370A23" w:rsidP="007C76B0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num" w:pos="342"/>
              </w:tabs>
              <w:spacing w:after="120"/>
              <w:ind w:left="342" w:right="75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Meet or exceed expectations</w:t>
            </w:r>
          </w:p>
        </w:tc>
      </w:tr>
    </w:tbl>
    <w:p w:rsidR="000220F6" w:rsidRPr="00E605B6" w:rsidRDefault="000220F6" w:rsidP="000220F6">
      <w:pPr>
        <w:spacing w:after="120"/>
        <w:rPr>
          <w:b/>
          <w:color w:val="000066"/>
        </w:rPr>
      </w:pPr>
    </w:p>
    <w:p w:rsidR="000220F6" w:rsidRPr="00E605B6" w:rsidRDefault="000220F6" w:rsidP="00E605B6">
      <w:pPr>
        <w:spacing w:after="120"/>
        <w:jc w:val="center"/>
        <w:rPr>
          <w:b/>
          <w:color w:val="000066"/>
        </w:rPr>
      </w:pPr>
      <w:r w:rsidRPr="00E605B6">
        <w:rPr>
          <w:b/>
          <w:color w:val="000066"/>
        </w:rPr>
        <w:t>HMG Services</w:t>
      </w:r>
    </w:p>
    <w:tbl>
      <w:tblPr>
        <w:tblStyle w:val="TableGrid"/>
        <w:tblW w:w="0" w:type="auto"/>
        <w:tblInd w:w="524" w:type="dxa"/>
        <w:tblLook w:val="04A0" w:firstRow="1" w:lastRow="0" w:firstColumn="1" w:lastColumn="0" w:noHBand="0" w:noVBand="1"/>
      </w:tblPr>
      <w:tblGrid>
        <w:gridCol w:w="4894"/>
        <w:gridCol w:w="5402"/>
      </w:tblGrid>
      <w:tr w:rsidR="00370A23" w:rsidRPr="00E605B6" w:rsidTr="00E605B6">
        <w:tc>
          <w:tcPr>
            <w:tcW w:w="4894" w:type="dxa"/>
          </w:tcPr>
          <w:p w:rsidR="00370A23" w:rsidRPr="00E605B6" w:rsidRDefault="00370A23" w:rsidP="00E605B6">
            <w:pPr>
              <w:pStyle w:val="ListParagraph"/>
              <w:numPr>
                <w:ilvl w:val="0"/>
                <w:numId w:val="1"/>
              </w:numPr>
              <w:spacing w:after="120"/>
              <w:ind w:left="376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Asset Management</w:t>
            </w:r>
          </w:p>
        </w:tc>
        <w:tc>
          <w:tcPr>
            <w:tcW w:w="5402" w:type="dxa"/>
          </w:tcPr>
          <w:p w:rsidR="00370A23" w:rsidRPr="00E605B6" w:rsidRDefault="00370A23" w:rsidP="007C76B0">
            <w:pPr>
              <w:pStyle w:val="ListParagraph"/>
              <w:numPr>
                <w:ilvl w:val="0"/>
                <w:numId w:val="1"/>
              </w:numPr>
              <w:spacing w:after="120"/>
              <w:ind w:left="342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Leasing Services</w:t>
            </w:r>
          </w:p>
        </w:tc>
      </w:tr>
      <w:tr w:rsidR="00370A23" w:rsidRPr="00E605B6" w:rsidTr="00E605B6">
        <w:tc>
          <w:tcPr>
            <w:tcW w:w="4894" w:type="dxa"/>
          </w:tcPr>
          <w:p w:rsidR="00370A23" w:rsidRPr="00E605B6" w:rsidRDefault="00370A23" w:rsidP="00E605B6">
            <w:pPr>
              <w:pStyle w:val="ListParagraph"/>
              <w:numPr>
                <w:ilvl w:val="0"/>
                <w:numId w:val="1"/>
              </w:numPr>
              <w:spacing w:after="120"/>
              <w:ind w:left="376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Property Management</w:t>
            </w:r>
          </w:p>
        </w:tc>
        <w:tc>
          <w:tcPr>
            <w:tcW w:w="5402" w:type="dxa"/>
          </w:tcPr>
          <w:p w:rsidR="00370A23" w:rsidRPr="00E605B6" w:rsidRDefault="00370A23" w:rsidP="007C76B0">
            <w:pPr>
              <w:pStyle w:val="ListParagraph"/>
              <w:numPr>
                <w:ilvl w:val="0"/>
                <w:numId w:val="1"/>
              </w:numPr>
              <w:spacing w:after="120"/>
              <w:ind w:left="342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Sale Services</w:t>
            </w:r>
          </w:p>
        </w:tc>
      </w:tr>
      <w:tr w:rsidR="00370A23" w:rsidRPr="00E605B6" w:rsidTr="00E605B6">
        <w:tc>
          <w:tcPr>
            <w:tcW w:w="4894" w:type="dxa"/>
          </w:tcPr>
          <w:p w:rsidR="00370A23" w:rsidRPr="00E605B6" w:rsidRDefault="00370A23" w:rsidP="00E605B6">
            <w:pPr>
              <w:pStyle w:val="ListParagraph"/>
              <w:numPr>
                <w:ilvl w:val="0"/>
                <w:numId w:val="1"/>
              </w:numPr>
              <w:spacing w:after="120"/>
              <w:ind w:left="376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Distressed Asset &amp; Receivership Services</w:t>
            </w:r>
          </w:p>
        </w:tc>
        <w:tc>
          <w:tcPr>
            <w:tcW w:w="5402" w:type="dxa"/>
          </w:tcPr>
          <w:p w:rsidR="00370A23" w:rsidRPr="00E605B6" w:rsidRDefault="00370A23" w:rsidP="007C76B0">
            <w:pPr>
              <w:pStyle w:val="ListParagraph"/>
              <w:numPr>
                <w:ilvl w:val="0"/>
                <w:numId w:val="1"/>
              </w:numPr>
              <w:spacing w:after="120"/>
              <w:ind w:left="342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 xml:space="preserve">Acquisition </w:t>
            </w:r>
            <w:r w:rsidR="00E605B6">
              <w:rPr>
                <w:rFonts w:eastAsia="Times New Roman" w:cstheme="minorHAnsi"/>
                <w:b/>
                <w:color w:val="333333"/>
              </w:rPr>
              <w:t xml:space="preserve">&amp; Due Diligence </w:t>
            </w:r>
            <w:r w:rsidRPr="00E605B6">
              <w:rPr>
                <w:rFonts w:eastAsia="Times New Roman" w:cstheme="minorHAnsi"/>
                <w:b/>
                <w:color w:val="333333"/>
              </w:rPr>
              <w:t>Coordination</w:t>
            </w:r>
          </w:p>
        </w:tc>
      </w:tr>
      <w:tr w:rsidR="00370A23" w:rsidRPr="00E605B6" w:rsidTr="00E605B6">
        <w:tc>
          <w:tcPr>
            <w:tcW w:w="4894" w:type="dxa"/>
          </w:tcPr>
          <w:p w:rsidR="00370A23" w:rsidRPr="00E605B6" w:rsidRDefault="00370A23" w:rsidP="00E605B6">
            <w:pPr>
              <w:pStyle w:val="ListParagraph"/>
              <w:numPr>
                <w:ilvl w:val="0"/>
                <w:numId w:val="1"/>
              </w:numPr>
              <w:spacing w:after="120"/>
              <w:ind w:left="376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Property Maintenance</w:t>
            </w:r>
          </w:p>
        </w:tc>
        <w:tc>
          <w:tcPr>
            <w:tcW w:w="5402" w:type="dxa"/>
          </w:tcPr>
          <w:p w:rsidR="00370A23" w:rsidRPr="00E605B6" w:rsidRDefault="00370A23" w:rsidP="007C76B0">
            <w:pPr>
              <w:pStyle w:val="ListParagraph"/>
              <w:numPr>
                <w:ilvl w:val="0"/>
                <w:numId w:val="1"/>
              </w:numPr>
              <w:spacing w:after="120"/>
              <w:ind w:left="342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Finance &amp; Refinancing Services</w:t>
            </w:r>
          </w:p>
        </w:tc>
      </w:tr>
      <w:tr w:rsidR="00370A23" w:rsidRPr="00E605B6" w:rsidTr="00E605B6">
        <w:tc>
          <w:tcPr>
            <w:tcW w:w="4894" w:type="dxa"/>
          </w:tcPr>
          <w:p w:rsidR="00370A23" w:rsidRPr="00E605B6" w:rsidRDefault="00370A23" w:rsidP="00E605B6">
            <w:pPr>
              <w:pStyle w:val="ListParagraph"/>
              <w:numPr>
                <w:ilvl w:val="0"/>
                <w:numId w:val="1"/>
              </w:numPr>
              <w:spacing w:after="120"/>
              <w:ind w:left="376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Facilities Management</w:t>
            </w:r>
          </w:p>
        </w:tc>
        <w:tc>
          <w:tcPr>
            <w:tcW w:w="5402" w:type="dxa"/>
          </w:tcPr>
          <w:p w:rsidR="00370A23" w:rsidRPr="00E605B6" w:rsidRDefault="00370A23" w:rsidP="007C76B0">
            <w:pPr>
              <w:pStyle w:val="ListParagraph"/>
              <w:numPr>
                <w:ilvl w:val="0"/>
                <w:numId w:val="1"/>
              </w:numPr>
              <w:spacing w:after="120"/>
              <w:ind w:left="342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Investment Analysis</w:t>
            </w:r>
          </w:p>
        </w:tc>
      </w:tr>
      <w:tr w:rsidR="00370A23" w:rsidRPr="00E605B6" w:rsidTr="00E605B6">
        <w:tc>
          <w:tcPr>
            <w:tcW w:w="4894" w:type="dxa"/>
          </w:tcPr>
          <w:p w:rsidR="00370A23" w:rsidRPr="00E605B6" w:rsidRDefault="00370A23" w:rsidP="00E605B6">
            <w:pPr>
              <w:pStyle w:val="ListParagraph"/>
              <w:numPr>
                <w:ilvl w:val="0"/>
                <w:numId w:val="1"/>
              </w:numPr>
              <w:spacing w:after="120"/>
              <w:ind w:left="376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Lease Administration</w:t>
            </w:r>
          </w:p>
        </w:tc>
        <w:tc>
          <w:tcPr>
            <w:tcW w:w="5402" w:type="dxa"/>
          </w:tcPr>
          <w:p w:rsidR="00370A23" w:rsidRPr="00E605B6" w:rsidRDefault="00370A23" w:rsidP="007C76B0">
            <w:pPr>
              <w:pStyle w:val="ListParagraph"/>
              <w:numPr>
                <w:ilvl w:val="0"/>
                <w:numId w:val="1"/>
              </w:numPr>
              <w:spacing w:after="120"/>
              <w:ind w:left="342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Investor Relations</w:t>
            </w:r>
          </w:p>
        </w:tc>
      </w:tr>
      <w:tr w:rsidR="00370A23" w:rsidRPr="00E605B6" w:rsidTr="00E605B6">
        <w:tc>
          <w:tcPr>
            <w:tcW w:w="4894" w:type="dxa"/>
          </w:tcPr>
          <w:p w:rsidR="00370A23" w:rsidRPr="00E605B6" w:rsidRDefault="00370A23" w:rsidP="00E605B6">
            <w:pPr>
              <w:pStyle w:val="ListParagraph"/>
              <w:numPr>
                <w:ilvl w:val="0"/>
                <w:numId w:val="1"/>
              </w:numPr>
              <w:spacing w:after="120"/>
              <w:ind w:left="376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Tenant Relations</w:t>
            </w:r>
          </w:p>
        </w:tc>
        <w:tc>
          <w:tcPr>
            <w:tcW w:w="5402" w:type="dxa"/>
          </w:tcPr>
          <w:p w:rsidR="00370A23" w:rsidRPr="00E605B6" w:rsidRDefault="00370A23" w:rsidP="007C76B0">
            <w:pPr>
              <w:pStyle w:val="ListParagraph"/>
              <w:numPr>
                <w:ilvl w:val="0"/>
                <w:numId w:val="1"/>
              </w:numPr>
              <w:spacing w:after="120"/>
              <w:ind w:left="342" w:hanging="342"/>
              <w:rPr>
                <w:rFonts w:eastAsia="Times New Roman" w:cstheme="minorHAnsi"/>
                <w:b/>
                <w:color w:val="333333"/>
              </w:rPr>
            </w:pPr>
            <w:r w:rsidRPr="00E605B6">
              <w:rPr>
                <w:rFonts w:eastAsia="Times New Roman" w:cstheme="minorHAnsi"/>
                <w:b/>
                <w:color w:val="333333"/>
              </w:rPr>
              <w:t>Consulting Services</w:t>
            </w:r>
          </w:p>
        </w:tc>
      </w:tr>
    </w:tbl>
    <w:p w:rsidR="009F0871" w:rsidRPr="00370A23" w:rsidRDefault="009F0871" w:rsidP="00370A23">
      <w:pPr>
        <w:spacing w:after="120"/>
        <w:rPr>
          <w:rFonts w:cstheme="minorHAnsi"/>
          <w:b/>
          <w:color w:val="000066"/>
        </w:rPr>
      </w:pPr>
    </w:p>
    <w:sectPr w:rsidR="009F0871" w:rsidRPr="00370A23" w:rsidSect="00A957A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7206"/>
    <w:multiLevelType w:val="hybridMultilevel"/>
    <w:tmpl w:val="2182C7DE"/>
    <w:lvl w:ilvl="0" w:tplc="2E0A9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84D71"/>
    <w:multiLevelType w:val="hybridMultilevel"/>
    <w:tmpl w:val="810C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27B53"/>
    <w:multiLevelType w:val="multilevel"/>
    <w:tmpl w:val="2AB0F93E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b/>
        <w:color w:val="00006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3">
    <w:nsid w:val="59097494"/>
    <w:multiLevelType w:val="multilevel"/>
    <w:tmpl w:val="72F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00006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45"/>
    <w:rsid w:val="000220F6"/>
    <w:rsid w:val="000B7DDB"/>
    <w:rsid w:val="00196EB4"/>
    <w:rsid w:val="001A0445"/>
    <w:rsid w:val="002A0226"/>
    <w:rsid w:val="00370A23"/>
    <w:rsid w:val="004474F1"/>
    <w:rsid w:val="00477179"/>
    <w:rsid w:val="004E76C4"/>
    <w:rsid w:val="005113EC"/>
    <w:rsid w:val="007411F9"/>
    <w:rsid w:val="007C76B0"/>
    <w:rsid w:val="00891D8E"/>
    <w:rsid w:val="009F0871"/>
    <w:rsid w:val="00A02C8C"/>
    <w:rsid w:val="00A957AB"/>
    <w:rsid w:val="00CE1EFC"/>
    <w:rsid w:val="00E55B09"/>
    <w:rsid w:val="00E605B6"/>
    <w:rsid w:val="00E76CE1"/>
    <w:rsid w:val="00F3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C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0F6"/>
    <w:pPr>
      <w:ind w:left="720"/>
      <w:contextualSpacing/>
    </w:pPr>
  </w:style>
  <w:style w:type="table" w:styleId="TableGrid">
    <w:name w:val="Table Grid"/>
    <w:basedOn w:val="TableNormal"/>
    <w:uiPriority w:val="59"/>
    <w:rsid w:val="00370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4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C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0F6"/>
    <w:pPr>
      <w:ind w:left="720"/>
      <w:contextualSpacing/>
    </w:pPr>
  </w:style>
  <w:style w:type="table" w:styleId="TableGrid">
    <w:name w:val="Table Grid"/>
    <w:basedOn w:val="TableNormal"/>
    <w:uiPriority w:val="59"/>
    <w:rsid w:val="00370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Hemmer HMG</dc:creator>
  <cp:lastModifiedBy>Jon Hemmer HMG</cp:lastModifiedBy>
  <cp:revision>3</cp:revision>
  <cp:lastPrinted>2014-03-10T20:05:00Z</cp:lastPrinted>
  <dcterms:created xsi:type="dcterms:W3CDTF">2014-03-10T20:06:00Z</dcterms:created>
  <dcterms:modified xsi:type="dcterms:W3CDTF">2014-03-27T20:55:00Z</dcterms:modified>
</cp:coreProperties>
</file>