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Line, Pie, and Area Charts</w:t>
      </w:r>
    </w:p>
    <w:p>
      <w:r>
        <w:t>Chart 1: Line chart with 3 series tracking monthly trends</w:t>
      </w:r>
    </w:p>
    <w:p>
      <w:r>
        <w:drawing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        <wp:inline distT="0" distB="0" distL="0" distR="0">
            <wp:extent cx="4572000" cy="2743200"/>
            <wp:effectExtent l="0" t="0" r="0" b="0"/>
            <wp:docPr id="9" name="Chart rId9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/>
    <w:p>
      <w:r>
        <w:t>Chart 2: Pie chart showing market share distribution</w:t>
      </w:r>
    </w:p>
    <w:p>
      <w:r>
        <w:drawing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        <wp:inline distT="0" distB="0" distL="0" distR="0">
            <wp:extent cx="4572000" cy="2743200"/>
            <wp:effectExtent l="0" t="0" r="0" b="0"/>
            <wp:docPr id="10" name="Chart rId10"/>
            <wp:cNvGraphicFramePr/>
            <a:graphic>
              <a:graphicData uri="http://schemas.openxmlformats.org/drawingml/2006/chart">
                <c:chart r:id="rId10"/>
              </a:graphicData>
            </a:graphic>
          </wp:inline>
        </w:drawing>
      </w:r>
    </w:p>
    <w:p/>
    <w:p>
      <w:r>
        <w:t>Chart 3: Area chart comparing two metrics over time</w:t>
      </w:r>
    </w:p>
    <w:p>
      <w:r>
        <w:drawing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        <wp:inline distT="0" distB="0" distL="0" distR="0">
            <wp:extent cx="5486400" cy="2743200"/>
            <wp:effectExtent l="0" t="0" r="0" b="0"/>
            <wp:docPr id="11" name="Chart rId11"/>
            <wp:cNvGraphicFramePr/>
            <a:graphic>
              <a:graphicData uri="http://schemas.openxmlformats.org/drawingml/2006/chart">
                <c:chart r:id="rId11"/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chart" Target="charts/chart2.xml"/><Relationship Id="rId11" Type="http://schemas.openxmlformats.org/officeDocument/2006/relationships/chart" Target="charts/chart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plotArea>
      <c:layout/>
      <c:lineChart>
        <c:grouping val="standard"/>
        <c:ser>
          <c:idx val="0"/>
          <c:order val="0"/>
          <c:tx>
            <c:strRef>
              <c:f>label0</c:f>
              <c:strCache>
                <c:ptCount val="1"/>
                <c:pt idx="0">
                  <c:v>Website</c:v>
                </c:pt>
              </c:strCache>
            </c:strRef>
          </c:tx>
          <c:spPr>
            <a:solidFill>
              <a:srgbClr val="4472C4"/>
            </a:solidFill>
            <a:ln>
              <a:solidFill>
                <a:srgbClr val="4472C4"/>
              </a:solidFill>
            </a:ln>
          </c:spPr>
          <c:cat>
            <c:strRef>
              <c:f>cats</c:f>
              <c:strCache>
                <c:ptCount val="6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6"/>
                <c:pt idx="0">
                  <c:v>1200</c:v>
                </c:pt>
                <c:pt idx="1">
                  <c:v>1350</c:v>
                </c:pt>
                <c:pt idx="2">
                  <c:v>1100</c:v>
                </c:pt>
                <c:pt idx="3">
                  <c:v>1500</c:v>
                </c:pt>
                <c:pt idx="4">
                  <c:v>1800</c:v>
                </c:pt>
                <c:pt idx="5">
                  <c:v>2100</c:v>
                </c:pt>
              </c:numCache>
            </c:numRef>
          </c:val>
        </c:ser>
        <c:ser>
          <c:idx val="1"/>
          <c:order val="1"/>
          <c:tx>
            <c:strRef>
              <c:f>label1</c:f>
              <c:strCache>
                <c:ptCount val="1"/>
                <c:pt idx="0">
                  <c:v>Mobile App</c:v>
                </c:pt>
              </c:strCache>
            </c:strRef>
          </c:tx>
          <c:spPr>
            <a:solidFill>
              <a:srgbClr val="ED7D31"/>
            </a:solidFill>
            <a:ln>
              <a:solidFill>
                <a:srgbClr val="ED7D31"/>
              </a:solidFill>
            </a:ln>
          </c:spPr>
          <c:cat>
            <c:strRef>
              <c:f>cats</c:f>
              <c:strCache>
                <c:ptCount val="6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6"/>
                <c:pt idx="0">
                  <c:v>800</c:v>
                </c:pt>
                <c:pt idx="1">
                  <c:v>950</c:v>
                </c:pt>
                <c:pt idx="2">
                  <c:v>1050</c:v>
                </c:pt>
                <c:pt idx="3">
                  <c:v>1200</c:v>
                </c:pt>
                <c:pt idx="4">
                  <c:v>1400</c:v>
                </c:pt>
                <c:pt idx="5">
                  <c:v>1650</c:v>
                </c:pt>
              </c:numCache>
            </c:numRef>
          </c:val>
        </c:ser>
        <c:ser>
          <c:idx val="2"/>
          <c:order val="2"/>
          <c:tx>
            <c:strRef>
              <c:f>label2</c:f>
              <c:strCache>
                <c:ptCount val="1"/>
                <c:pt idx="0">
                  <c:v>Desktop</c:v>
                </c:pt>
              </c:strCache>
            </c:strRef>
          </c:tx>
          <c:spPr>
            <a:solidFill>
              <a:srgbClr val="70AD47"/>
            </a:solidFill>
            <a:ln>
              <a:solidFill>
                <a:srgbClr val="70AD47"/>
              </a:solidFill>
            </a:ln>
          </c:spPr>
          <c:cat>
            <c:strRef>
              <c:f>cats</c:f>
              <c:strCache>
                <c:ptCount val="6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6"/>
                <c:pt idx="0">
                  <c:v>600</c:v>
                </c:pt>
                <c:pt idx="1">
                  <c:v>580</c:v>
                </c:pt>
                <c:pt idx="2">
                  <c:v>620</c:v>
                </c:pt>
                <c:pt idx="3">
                  <c:v>550</c:v>
                </c:pt>
                <c:pt idx="4">
                  <c:v>500</c:v>
                </c:pt>
                <c:pt idx="5">
                  <c:v>480</c:v>
                </c:pt>
              </c:numCache>
            </c:numRef>
          </c:val>
        </c:ser>
        <c:axId val="100"/>
        <c:axId val="200"/>
      </c:lineChart>
      <c:catAx>
        <c:axId val="10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crossAx val="200"/>
        <c:crossesAt val="0"/>
      </c:catAx>
      <c:valAx>
        <c:axId val="200"/>
        <c:scaling>
          <c:orientation val="minMax"/>
        </c:scaling>
        <c:delete val="0"/>
        <c:axPos val="l"/>
        <c:majorGridlines>
          <c:spPr>
            <a:ln>
              <a:solidFill>
                <a:srgbClr val="b3b3b3"/>
              </a:solidFill>
            </a:ln>
          </c:spPr>
        </c:majorGridlines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crossAx val="100"/>
        <c:crossesAt val="0"/>
      </c:valAx>
      <c:spPr>
        <a:noFill/>
        <a:ln>
          <a:solidFill>
            <a:srgbClr val="b3b3b3"/>
          </a:solidFill>
        </a:ln>
      </c:spPr>
    </c:plotArea>
    <c:legend>
      <c:legendPos val="r"/>
      <c:overlay val="0"/>
      <c:spPr>
        <a:noFill/>
        <a:ln>
          <a:noFill/>
        </a:ln>
      </c:spPr>
    </c:legend>
    <c:plotVisOnly val="1"/>
  </c:chart>
  <c:spPr>
    <a:noFill/>
    <a:ln>
      <a:noFill/>
    </a:ln>
  </c:spPr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plotArea>
      <c:layout/>
      <c:pieChart>
        <c:varyColors val="1"/>
        <c:ser>
          <c:idx val="0"/>
          <c:order val="0"/>
          <c:tx>
            <c:strRef>
              <c:f>label</c:f>
              <c:strCache>
                <c:ptCount val="1"/>
                <c:pt idx="0">
                  <c:v>Market Share</c:v>
                </c:pt>
              </c:strCache>
            </c:strRef>
          </c:tx>
          <c:cat>
            <c:strRef>
              <c:f>cats</c:f>
              <c:strCache>
                <c:ptCount val="5"/>
                <c:pt idx="0">
                  <c:v>Chrome</c:v>
                </c:pt>
                <c:pt idx="1">
                  <c:v>Safari</c:v>
                </c:pt>
                <c:pt idx="2">
                  <c:v>Firefox</c:v>
                </c:pt>
                <c:pt idx="3">
                  <c:v>Edge</c:v>
                </c:pt>
                <c:pt idx="4">
                  <c:v>Other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5"/>
                <c:pt idx="0">
                  <c:v>63</c:v>
                </c:pt>
                <c:pt idx="1">
                  <c:v>20</c:v>
                </c:pt>
                <c:pt idx="2">
                  <c:v>8</c:v>
                </c:pt>
                <c:pt idx="3">
                  <c:v>5</c:v>
                </c:pt>
                <c:pt idx="4">
                  <c:v>4</c:v>
                </c:pt>
              </c:numCache>
            </c:numRef>
          </c:val>
        </c:ser>
      </c:pieChart>
    </c:plotArea>
    <c:legend>
      <c:legendPos val="r"/>
      <c:overlay val="0"/>
      <c:spPr>
        <a:noFill/>
        <a:ln>
          <a:noFill/>
        </a:ln>
      </c:spPr>
    </c:legend>
    <c:plotVisOnly val="1"/>
  </c:chart>
  <c:spPr>
    <a:noFill/>
    <a:ln>
      <a:noFill/>
    </a:ln>
  </c:spPr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plotArea>
      <c:layout/>
      <c:areaChart>
        <c:grouping val="standard"/>
        <c:ser>
          <c:idx val="0"/>
          <c:order val="0"/>
          <c:tx>
            <c:strRef>
              <c:f>label0</c:f>
              <c:strCache>
                <c:ptCount val="1"/>
                <c:pt idx="0">
                  <c:v>Revenue</c:v>
                </c:pt>
              </c:strCache>
            </c:strRef>
          </c:tx>
          <c:spPr>
            <a:solidFill>
              <a:srgbClr val="4472C4"/>
            </a:solidFill>
            <a:ln>
              <a:solidFill>
                <a:srgbClr val="4472C4"/>
              </a:solidFill>
            </a:ln>
          </c:spPr>
          <c:cat>
            <c:strRef>
              <c:f>cats</c:f>
              <c:strCache>
                <c:ptCount val="6"/>
                <c:pt idx="0">
                  <c:v>Q1 '23</c:v>
                </c:pt>
                <c:pt idx="1">
                  <c:v>Q2 '23</c:v>
                </c:pt>
                <c:pt idx="2">
                  <c:v>Q3 '23</c:v>
                </c:pt>
                <c:pt idx="3">
                  <c:v>Q4 '23</c:v>
                </c:pt>
                <c:pt idx="4">
                  <c:v>Q1 '24</c:v>
                </c:pt>
                <c:pt idx="5">
                  <c:v>Q2 '24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6"/>
                <c:pt idx="0">
                  <c:v>320</c:v>
                </c:pt>
                <c:pt idx="1">
                  <c:v>380</c:v>
                </c:pt>
                <c:pt idx="2">
                  <c:v>410</c:v>
                </c:pt>
                <c:pt idx="3">
                  <c:v>450</c:v>
                </c:pt>
                <c:pt idx="4">
                  <c:v>520</c:v>
                </c:pt>
                <c:pt idx="5">
                  <c:v>590</c:v>
                </c:pt>
              </c:numCache>
            </c:numRef>
          </c:val>
        </c:ser>
        <c:ser>
          <c:idx val="1"/>
          <c:order val="1"/>
          <c:tx>
            <c:strRef>
              <c:f>label1</c:f>
              <c:strCache>
                <c:ptCount val="1"/>
                <c:pt idx="0">
                  <c:v>Costs</c:v>
                </c:pt>
              </c:strCache>
            </c:strRef>
          </c:tx>
          <c:spPr>
            <a:solidFill>
              <a:srgbClr val="ED7D31"/>
            </a:solidFill>
            <a:ln>
              <a:solidFill>
                <a:srgbClr val="ED7D31"/>
              </a:solidFill>
            </a:ln>
          </c:spPr>
          <c:cat>
            <c:strRef>
              <c:f>cats</c:f>
              <c:strCache>
                <c:ptCount val="6"/>
                <c:pt idx="0">
                  <c:v>Q1 '23</c:v>
                </c:pt>
                <c:pt idx="1">
                  <c:v>Q2 '23</c:v>
                </c:pt>
                <c:pt idx="2">
                  <c:v>Q3 '23</c:v>
                </c:pt>
                <c:pt idx="3">
                  <c:v>Q4 '23</c:v>
                </c:pt>
                <c:pt idx="4">
                  <c:v>Q1 '24</c:v>
                </c:pt>
                <c:pt idx="5">
                  <c:v>Q2 '24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6"/>
                <c:pt idx="0">
                  <c:v>280</c:v>
                </c:pt>
                <c:pt idx="1">
                  <c:v>310</c:v>
                </c:pt>
                <c:pt idx="2">
                  <c:v>340</c:v>
                </c:pt>
                <c:pt idx="3">
                  <c:v>360</c:v>
                </c:pt>
                <c:pt idx="4">
                  <c:v>390</c:v>
                </c:pt>
                <c:pt idx="5">
                  <c:v>420</c:v>
                </c:pt>
              </c:numCache>
            </c:numRef>
          </c:val>
        </c:ser>
        <c:axId val="100"/>
        <c:axId val="200"/>
      </c:areaChart>
      <c:catAx>
        <c:axId val="10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crossAx val="200"/>
        <c:crossesAt val="0"/>
      </c:catAx>
      <c:valAx>
        <c:axId val="200"/>
        <c:scaling>
          <c:orientation val="minMax"/>
        </c:scaling>
        <c:delete val="0"/>
        <c:axPos val="l"/>
        <c:majorGridlines>
          <c:spPr>
            <a:ln>
              <a:solidFill>
                <a:srgbClr val="b3b3b3"/>
              </a:solidFill>
            </a:ln>
          </c:spPr>
        </c:majorGridlines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crossAx val="100"/>
        <c:crossesAt val="0"/>
      </c:valAx>
      <c:spPr>
        <a:noFill/>
        <a:ln>
          <a:solidFill>
            <a:srgbClr val="b3b3b3"/>
          </a:solidFill>
        </a:ln>
      </c:spPr>
    </c:plotArea>
    <c:legend>
      <c:legendPos val="b"/>
      <c:overlay val="0"/>
      <c:spPr>
        <a:noFill/>
        <a:ln>
          <a:noFill/>
        </a:ln>
      </c:spPr>
    </c:legend>
    <c:plotVisOnly val="1"/>
  </c:chart>
  <c:spPr>
    <a:noFill/>
    <a:ln>
      <a:noFill/>
    </a:ln>
  </c:spPr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