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nb-NO"/>
        </w:rPr>
        <w:t>Orddeling: Norsk</w:t>
      </w:r>
    </w:p>
    <w:p>
      <w:pPr>
        <w:jc w:val="both"/>
      </w:pPr>
      <w:r>
        <w:rPr>
          <w:rFonts w:ascii="Times New Roman" w:hAnsi="Times New Roman"/>
          <w:sz w:val="24"/>
          <w:lang w:val="nb-NO"/>
        </w:rPr>
        <w:t>Stortinget er Norges nasjonalforsamling. Det består av 169 representanter valgt fra 19 valgdistrikter. I henhold til Grunnloven § 49 er Stortinget «folkets» instrument for å utøve den lovgivende makt. Stortingsvalg avholdes hvert fjerde år. Stemmerett har i hovedsak alle norske statsborgere som har fylt (eller vil fylle) 18 år i løpet av valgåret eller før. Norge har et parlamentarisk system, som innebærer at regjeringen er ansvarlig overfor Stortinget.</w:t>
      </w:r>
    </w:p>
    <w:p>
      <w:pPr>
        <w:jc w:val="both"/>
      </w:pPr>
      <w:r>
        <w:rPr>
          <w:rFonts w:ascii="Times New Roman" w:hAnsi="Times New Roman"/>
          <w:sz w:val="24"/>
          <w:lang w:val="nb-NO"/>
        </w:rPr>
        <w:t>Historie Norges lovgivende forsamling ble etablert ved Grunnloven utformet av riksforsamlingen på Eidsvoll i 1814. Nicolai Wergeland fikk der gjennom at navnet skulle være «Stortinget», mens Christian Magnus Falsen laget betegnelsene «Odelsting» og «Lagting» for de to avdelingene. Begrepet «ting» knytter seg norsk historie og norrøn språkbruk. Tingene i middelalderen eller tidligere var både lovgivende og dømmende makt. Den norske forfatningen bygger på en tredeling av statsmakten der Stortinget som lovgivende og bevilgende myndighet er adskilt fra den dømmende (rettsvesenet). Skillet mellom Stortinget og den utøvende makten ble forskjøvet særlig ved etablering av parlamentarisme i 1884. Fram til 2009 delte Stortinget seg i to avdelinger ved lovbehandling.</w:t>
      </w:r>
    </w:p>
    <w:p>
      <w:pPr>
        <w:jc w:val="both"/>
      </w:pPr>
      <w:r>
        <w:rPr>
          <w:rFonts w:ascii="Times New Roman" w:hAnsi="Times New Roman"/>
          <w:sz w:val="24"/>
          <w:lang w:val="nb-NO"/>
        </w:rPr>
        <w:t>En fjerdedel av representantene utgjorde Lagtinget, resten Odelstinget. Fordelingen skjedde ved Stortingets første konstituering etter et valg. Denne ordningen ble innført av Riksforsamlingen på Eidsvoll. Bakgrunnen var Montesquieus ide om at inndeling i over- og underhus skulle skape balanse mellom godseiere og borgere. Det var også en antakelse om at overhuset kunne motvirke de særinteressene og den kortsiktigheten man ventet ville prege underhuset. En tokammerordning ville også legge opp til en grundigere behandling av lovene. Adlers og Falsens opprinnelige forslag til grunnlov foreslo separat valg til det tenkte overhuset («Lagthinget») og at representantene skulle være valgt for ni år.</w:t>
      </w:r>
    </w:p>
    <w:p>
      <w:pPr>
        <w:jc w:val="both"/>
      </w:pPr>
      <w:r>
        <w:rPr>
          <w:rFonts w:ascii="Times New Roman" w:hAnsi="Times New Roman"/>
          <w:sz w:val="24"/>
          <w:lang w:val="nb-NO"/>
        </w:rPr>
        <w:t>Forslaget møtte motstand på Eidsvoll og det endte med at representanter til de kamrene eller avdelingene skulle velges samlet og hvert storting selv utpekte en fjerdedel av stortingsmennene til Lagtinget. Dette kompromisset mellom ettkammer- og tokammersystem var unikt for Norge. Motstanden mot en ordning med helt separat overhus kan skyldes likhetsidealene i samfunnet. Lovforslag ble først behandlet i Odelstinget. Dersom det gjorde positivt vedtak, gikk dette videre til Lagtinget, som kunne bifalle eller foreslå endring (gjerne på formen «Odelstingets vedtak bifalles ikke. § X antas å burde lyde ...»). Når et forslag (eller endret forslag) var vedtatt av begge ting, ble det sendt Kongen i statsråd for sanksjon.</w:t>
      </w:r>
    </w:p>
    <w:p>
      <w:pPr>
        <w:jc w:val="both"/>
      </w:pPr>
      <w:r>
        <w:rPr>
          <w:rFonts w:ascii="Times New Roman" w:hAnsi="Times New Roman"/>
          <w:sz w:val="24"/>
          <w:lang w:val="nb-NO"/>
        </w:rPr>
        <w:t>Kongeriket Norges Grunnlov danner sammen med konstitusjonell sedvanerett Norges forfatningsrett. Viktige sider ved den faktisk norske forfatningen og Norges politiske system fremgår ikke direkte av Grunnlovens tekst.  Grunnloven er den høyeste rettskilden i Norge. Det betyr at andre bestemmelser som kommer i strid med den, må vike etter lex superior-prinsippet. Grunnloven inneholder bestemmelser om statsformen, om menneskerettigheter, om den lovgivende makt (Stortinget), den utøvende makt (Kongen i statsråd) og den dømmende makt (domstolene). Grunnloven, naturrettens rettsprinsipper, konstitusjonell sedvanerett, menneskerettighetene og internasjonal rett utgjør de viktigste fundamentene for Norges statsform, rettsforståelse, og lovverk.</w:t>
      </w:r>
    </w:p>
    <w:p>
      <w:pPr>
        <w:jc w:val="both"/>
      </w:pPr>
      <w:r>
        <w:rPr>
          <w:rFonts w:ascii="Times New Roman" w:hAnsi="Times New Roman"/>
          <w:sz w:val="24"/>
          <w:lang w:val="nb-NO"/>
        </w:rPr>
        <w:t>I tillegg til å danne basis for statsforfatningen og -forvaltningen, nedfeller Grunnloven en rekke individuelle rettigheter og utgjør hoveddokumentet som sikrer den norske rettsstaten. Annet lovverk utdyper og konkretiserer Grunnlovens bestemmelser.  Grunnloven utgjør en skriftlig samfunnskontrakt mellom styrende og styrte. De viktigste prinsippene Grunnloven og dens samfunnskontrakt bygger på, er folkesuvereniteten gjennom bestemmelsene om folkevalgt styre og representasjon, maktfordelingsprinsippet om skillet mellom de lovgivende, utøvende og dømmende statsmakter, samt menneskerettighetene som sikrer borgerne mot rettssikkerhet og vilkårlighet, og fastslår individuelle rettigheter som eksempelvis trosfrihet og ytringsfrihet.</w:t>
      </w:r>
    </w:p>
    <w:p>
      <w:pPr>
        <w:jc w:val="both"/>
      </w:pPr>
      <w:r>
        <w:rPr>
          <w:rFonts w:ascii="Times New Roman" w:hAnsi="Times New Roman"/>
          <w:sz w:val="24"/>
          <w:lang w:val="nb-NO"/>
        </w:rPr>
        <w:t>§ 3 (utøvende makt) i Grunnloven er sammen med § 49 (lovgivende makt) og § 88 (dømmende makt) uttrykk for maktfordelingen i Norge. Grunnlovsutkastet utarbeidet av Christian Magnus Falsen og Johan Gunder Adler før riksforsamlingen på Eidsvoll hadde en mer eksplisitt formulering i artikkel 32 (etter amerikansk forbilde med en ordrett oversettelse av Massachusetts grunnlov fra 1780). I § 49 er den lovgivende makten lagt til folket gjennom Stortinget. Den utøvende makten er § 31 (siden 1911) ved kongen sammen med regjeringen. Før 1814 var statsrådene kongens personlige rådgivere og ikke ledere for departementene og forvaltningen.</w:t>
      </w:r>
    </w:p>
    <w:p>
      <w:pPr>
        <w:jc w:val="both"/>
      </w:pPr>
      <w:r>
        <w:rPr>
          <w:rFonts w:ascii="Times New Roman" w:hAnsi="Times New Roman"/>
          <w:sz w:val="24"/>
          <w:lang w:val="nb-NO"/>
        </w:rPr>
        <w:t>Grunnloven av ga regjeringen en del autonomi overfor kongen ved at § 12 bestemte at statsrådene skulle ha ansvar for hvert sitt saksområde slik at den utøvende makten ble oppdelt etter fagområde. Grunnloven ble godkjent av Riksforsamlingen på Eidsvoll i Eidsvollsbygningen den 16. mai 1814.  Et underskrevet eksemplar ble overrakt kong Christian Frederik dagen etter. Den bestod av 110 paragrafer i fem kapitler, fordelt på 24 sider i en innbundet bok, og er siden utvidet til 121 paragrafer. Grunnloven ble datert 17. mai, og datoen fikk i løpet av 1800-tallet status som Norges nasjonaldag. Det ble utarbeidet flere utkast til 17. mai-grunnloven, og det endelige eksemplaret som ble underskrevet av eidsvollsmennene var renskrevet av studenten Johan Matthæus Buschmann.</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