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ind w:right="4286"/>
        <w:jc w:val="both"/>
        <w:rPr>
          <w:rFonts w:ascii="Times New Roman" w:hAnsi="Times New Roman"/>
          <w:b/>
          <w:i/>
          <w:sz w:val="28"/>
          <w:kern w:val="0"/>
        </w:rPr>
      </w:pPr>
      <w:r>
        <w:rPr>
          <w:rFonts w:ascii="Times New Roman" w:hAnsi="Times New Roman"/>
          <w:b/>
          <w:i/>
          <w:sz w:val="28"/>
          <w:kern w:val="0"/>
        </w:rPr>
        <w:t>Alpha beta gamma delta A12-12345/2026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