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tabs>
          <w:tab w:val="center" w:pos="4819"/>
          <w:tab w:val="right" w:pos="9638"/>
        </w:tabs>
        <w:rPr>
          <w:sz w:val="22"/>
          <w:szCs w:val="22"/>
        </w:rPr>
      </w:pPr>
    </w:p>
    <w:p>
      <w:pPr>
        <w:spacing w:line="276" w:lineRule="auto"/>
        <w:ind w:firstLine="7110"/>
        <w:jc w:val="both"/>
        <w:rPr>
          <w:b/>
          <w:szCs w:val="24"/>
        </w:rPr>
      </w:pPr>
      <w:r>
        <w:rPr>
          <w:b/>
          <w:szCs w:val="24"/>
        </w:rPr>
        <w:t xml:space="preserve">Projektas </w:t>
      </w:r>
    </w:p>
    <w:p>
      <w:pPr>
        <w:spacing w:line="276" w:lineRule="auto"/>
        <w:jc w:val="center"/>
        <w:rPr>
          <w:b/>
          <w:szCs w:val="24"/>
        </w:rPr>
      </w:pPr>
    </w:p>
    <w:p>
      <w:pPr>
        <w:spacing w:line="276" w:lineRule="auto"/>
        <w:jc w:val="center"/>
        <w:rPr>
          <w:b/>
          <w:szCs w:val="24"/>
        </w:rPr>
      </w:pPr>
      <w:r>
        <w:rPr>
          <w:b/>
          <w:szCs w:val="24"/>
        </w:rPr>
        <w:t>LIETUVOS RESPUBLIKOS</w:t>
      </w:r>
    </w:p>
    <w:p>
      <w:pPr>
        <w:spacing w:line="276" w:lineRule="auto"/>
        <w:jc w:val="center"/>
        <w:rPr>
          <w:b/>
          <w:szCs w:val="24"/>
        </w:rPr>
      </w:pPr>
      <w:r>
        <w:rPr>
          <w:b/>
          <w:szCs w:val="24"/>
        </w:rPr>
        <w:t xml:space="preserve">GELEŽINKELIŲ TRANSPORTO KODEKSO </w:t>
      </w:r>
      <w:r>
        <w:rPr>
          <w:b/>
          <w:bCs/>
          <w:caps/>
          <w:szCs w:val="24"/>
          <w:lang w:eastAsia="lt-LT"/>
        </w:rPr>
        <w:t xml:space="preserve">7, 10, 11, 16 ir 22 STRAIPSNIų </w:t>
      </w:r>
      <w:r>
        <w:rPr>
          <w:b/>
          <w:szCs w:val="24"/>
        </w:rPr>
        <w:t>PAKEITIMO</w:t>
      </w:r>
    </w:p>
    <w:p>
      <w:pPr>
        <w:spacing w:line="276" w:lineRule="auto"/>
        <w:jc w:val="center"/>
        <w:rPr>
          <w:b/>
          <w:szCs w:val="24"/>
          <w:lang w:eastAsia="lt-LT"/>
        </w:rPr>
      </w:pPr>
      <w:r>
        <w:rPr>
          <w:b/>
          <w:szCs w:val="24"/>
        </w:rPr>
        <w:t>ĮSTATYMAS</w:t>
      </w:r>
    </w:p>
    <w:p>
      <w:pPr>
        <w:spacing w:line="276" w:lineRule="auto"/>
        <w:jc w:val="center"/>
        <w:rPr>
          <w:b/>
          <w:szCs w:val="24"/>
        </w:rPr>
      </w:pPr>
    </w:p>
    <w:p>
      <w:pPr>
        <w:spacing w:line="276" w:lineRule="auto"/>
        <w:jc w:val="center"/>
        <w:rPr>
          <w:szCs w:val="24"/>
        </w:rPr>
      </w:pPr>
      <w:r>
        <w:rPr>
          <w:szCs w:val="24"/>
        </w:rPr>
        <w:t>2017 m.</w:t>
        <w:tab/>
        <w:tab/>
        <w:t>d. Nr.</w:t>
      </w:r>
    </w:p>
    <w:p>
      <w:pPr>
        <w:spacing w:line="276" w:lineRule="auto"/>
        <w:jc w:val="center"/>
        <w:rPr>
          <w:szCs w:val="24"/>
        </w:rPr>
      </w:pPr>
      <w:r>
        <w:rPr>
          <w:szCs w:val="24"/>
        </w:rPr>
        <w:t>Vilnius</w:t>
      </w:r>
    </w:p>
    <w:p>
      <w:pPr>
        <w:spacing w:line="276" w:lineRule="auto"/>
        <w:rPr>
          <w:szCs w:val="24"/>
        </w:rPr>
      </w:pPr>
    </w:p>
    <w:p>
      <w:pPr>
        <w:ind w:firstLine="851"/>
        <w:jc w:val="both"/>
        <w:rPr>
          <w:b/>
          <w:szCs w:val="24"/>
        </w:rPr>
      </w:pPr>
      <w:r>
        <w:rPr>
          <w:b/>
          <w:szCs w:val="24"/>
        </w:rPr>
        <w:t>1</w:t>
      </w:r>
      <w:r>
        <w:rPr>
          <w:b/>
          <w:szCs w:val="24"/>
        </w:rPr>
        <w:t xml:space="preserve"> straipsnis. </w:t>
      </w:r>
      <w:r>
        <w:rPr>
          <w:b/>
          <w:szCs w:val="24"/>
        </w:rPr>
        <w:t>7 straipsnio pakeitimas</w:t>
      </w:r>
    </w:p>
    <w:p>
      <w:pPr>
        <w:ind w:firstLine="900"/>
        <w:jc w:val="both"/>
        <w:rPr>
          <w:szCs w:val="24"/>
        </w:rPr>
      </w:pPr>
      <w:r>
        <w:rPr>
          <w:szCs w:val="24"/>
        </w:rPr>
        <w:t>1</w:t>
      </w:r>
      <w:r>
        <w:rPr>
          <w:szCs w:val="24"/>
        </w:rPr>
        <w:t>. Pakeisti 7 straipsnio 1 dalį ir ją išdėstyti taip:</w:t>
      </w:r>
    </w:p>
    <w:p>
      <w:pPr>
        <w:ind w:firstLine="907"/>
        <w:jc w:val="both"/>
        <w:rPr>
          <w:szCs w:val="24"/>
        </w:rPr>
      </w:pPr>
      <w:r>
        <w:rPr>
          <w:szCs w:val="24"/>
        </w:rPr>
        <w:t>„</w:t>
      </w:r>
      <w:r>
        <w:rPr>
          <w:szCs w:val="24"/>
        </w:rPr>
        <w:t>1</w:t>
      </w:r>
      <w:r>
        <w:rPr>
          <w:szCs w:val="24"/>
        </w:rPr>
        <w:t>. Geležinkelių transporto viešąjį administravimą vykdo Lietuvos Respublikos susisiekimo ministerija (toliau – Susisiekimo ministerija) – Vyriausybės įgaliota institucija, Lietuvos Respublikos geležinkelių transporto eismo saugos įstatymo 6 straipsnio 2 dalyje nurodyta eismo saugos institucija (toliau – eismo saugos institucija) ir Lietuvos Respublikos ryšių reguliavimo tarnyba.“</w:t>
      </w:r>
    </w:p>
    <w:p>
      <w:pPr>
        <w:ind w:firstLine="900"/>
        <w:jc w:val="both"/>
        <w:rPr>
          <w:szCs w:val="24"/>
        </w:rPr>
      </w:pPr>
      <w:r>
        <w:rPr>
          <w:szCs w:val="24"/>
        </w:rPr>
        <w:t>2</w:t>
      </w:r>
      <w:r>
        <w:rPr>
          <w:szCs w:val="24"/>
        </w:rPr>
        <w:t>. Pakeisti 7 straipsnio 3 dalies pirmąją pastraipą ir ją išdėstyti taip:</w:t>
      </w:r>
    </w:p>
    <w:p>
      <w:pPr>
        <w:ind w:firstLine="900"/>
        <w:jc w:val="both"/>
        <w:rPr>
          <w:szCs w:val="24"/>
        </w:rPr>
      </w:pPr>
      <w:r>
        <w:rPr>
          <w:szCs w:val="24"/>
          <w:lang w:eastAsia="lt-LT"/>
        </w:rPr>
        <w:t>„</w:t>
      </w:r>
      <w:r>
        <w:rPr>
          <w:szCs w:val="24"/>
        </w:rPr>
        <w:t>3</w:t>
      </w:r>
      <w:r>
        <w:rPr>
          <w:szCs w:val="24"/>
        </w:rPr>
        <w:t xml:space="preserve">. Eismo saugos institucija:“. </w:t>
      </w:r>
    </w:p>
    <w:p>
      <w:pPr>
        <w:ind w:firstLine="900"/>
        <w:jc w:val="both"/>
        <w:rPr>
          <w:szCs w:val="24"/>
        </w:rPr>
      </w:pPr>
    </w:p>
    <w:p>
      <w:pPr>
        <w:ind w:firstLine="851"/>
        <w:jc w:val="both"/>
        <w:rPr>
          <w:b/>
          <w:szCs w:val="24"/>
        </w:rPr>
      </w:pPr>
      <w:r>
        <w:rPr>
          <w:b/>
          <w:szCs w:val="24"/>
        </w:rPr>
        <w:t>2</w:t>
      </w:r>
      <w:r>
        <w:rPr>
          <w:b/>
          <w:szCs w:val="24"/>
        </w:rPr>
        <w:t xml:space="preserve"> straipsnis. </w:t>
      </w:r>
      <w:r>
        <w:rPr>
          <w:b/>
          <w:szCs w:val="24"/>
        </w:rPr>
        <w:t>10 straipsnio pakeitimas</w:t>
      </w:r>
    </w:p>
    <w:p>
      <w:pPr>
        <w:ind w:firstLine="900"/>
        <w:jc w:val="both"/>
        <w:rPr>
          <w:szCs w:val="24"/>
        </w:rPr>
      </w:pPr>
      <w:r>
        <w:rPr>
          <w:szCs w:val="24"/>
        </w:rPr>
        <w:t>Pakeisti 10 straipsnį ir jį išdėstyti taip:</w:t>
      </w:r>
    </w:p>
    <w:p>
      <w:pPr>
        <w:ind w:firstLine="900"/>
        <w:jc w:val="both"/>
        <w:rPr>
          <w:b/>
          <w:sz w:val="28"/>
          <w:szCs w:val="24"/>
        </w:rPr>
      </w:pPr>
      <w:r>
        <w:rPr>
          <w:bCs/>
          <w:szCs w:val="22"/>
        </w:rPr>
        <w:t>„</w:t>
      </w:r>
      <w:r>
        <w:rPr>
          <w:b/>
          <w:bCs/>
          <w:szCs w:val="22"/>
        </w:rPr>
        <w:t>10</w:t>
      </w:r>
      <w:r>
        <w:rPr>
          <w:b/>
          <w:bCs/>
          <w:szCs w:val="22"/>
        </w:rPr>
        <w:t xml:space="preserve"> straipsnis. </w:t>
      </w:r>
      <w:r>
        <w:rPr>
          <w:b/>
          <w:bCs/>
          <w:szCs w:val="22"/>
        </w:rPr>
        <w:t>Geležinkelio įmonės (vežėjo) licencija</w:t>
      </w:r>
    </w:p>
    <w:p>
      <w:pPr>
        <w:ind w:firstLine="900"/>
        <w:jc w:val="both"/>
        <w:rPr>
          <w:szCs w:val="24"/>
          <w:lang w:eastAsia="lt-LT"/>
        </w:rPr>
      </w:pPr>
      <w:r>
        <w:rPr>
          <w:szCs w:val="24"/>
          <w:lang w:eastAsia="lt-LT"/>
        </w:rPr>
        <w:t>1</w:t>
      </w:r>
      <w:r>
        <w:rPr>
          <w:szCs w:val="24"/>
          <w:lang w:eastAsia="lt-LT"/>
        </w:rPr>
        <w:t>. Keleivių, bagažo ir (ar) krovinių vežimo vietiniais ir (ar) tarptautiniais maršrutais paslaugų teikimas naudojantis geležinkelių linijomis yra licencijuojamas. Lietuvos Respublikoje galioja bet kurioje Europos Sąjungos valstybėje narėje išduotos geležinkelio įmonės (vežėjo) licencijos.</w:t>
      </w:r>
    </w:p>
    <w:p>
      <w:pPr>
        <w:ind w:firstLine="900"/>
        <w:jc w:val="both"/>
        <w:rPr>
          <w:szCs w:val="24"/>
          <w:lang w:eastAsia="lt-LT"/>
        </w:rPr>
      </w:pPr>
      <w:r>
        <w:rPr>
          <w:szCs w:val="24"/>
          <w:lang w:eastAsia="lt-LT"/>
        </w:rPr>
        <w:t>2</w:t>
      </w:r>
      <w:r>
        <w:rPr>
          <w:szCs w:val="24"/>
          <w:lang w:eastAsia="lt-LT"/>
        </w:rPr>
        <w:t>. Geležinkelio įmonės (vežėjo) licencija Lietuvos Respublikoje registruotai įmonei išduodama, jeigu įmonė:</w:t>
      </w:r>
    </w:p>
    <w:p>
      <w:pPr>
        <w:ind w:firstLine="900"/>
        <w:jc w:val="both"/>
        <w:rPr>
          <w:szCs w:val="24"/>
          <w:lang w:eastAsia="lt-LT"/>
        </w:rPr>
      </w:pPr>
      <w:r>
        <w:rPr>
          <w:szCs w:val="24"/>
          <w:lang w:eastAsia="lt-LT"/>
        </w:rPr>
        <w:t>1</w:t>
      </w:r>
      <w:r>
        <w:rPr>
          <w:szCs w:val="24"/>
          <w:lang w:eastAsia="lt-LT"/>
        </w:rPr>
        <w:t>) atitinka geros reputacijos reikalavimus – įmonė, įmonės dalyviai, nuosavybės teise tiesiogiai arba netiesiogiai valdantys mažiausiai 34 procentus įmonės akcijų (pajų, įnašų ar panašiai), įmonės valdymo organų nariai, vadovai ir jų įgalioti asmenys, kuriems pavesta vadovauti keleivių, bagažo ir (ar) krovinių vežimo vietiniais ir (ar) tarptautiniais maršrutais paslaugų teikimui naudojantis geležinkelių linijomis, neturi neišnykusio arba nepanaikinto teistumo už sunkius ar labai sunkius tyčinius nusikaltimus, taip pat už tyčinius nusikaltimus ekonomikai, verslo tvarkai, finansų sistemai, pakartotinius nusikaltimus asmens socialinėms teisėms, nusikaltimus, susijusius su muitinės procedūrų pažeidimais;</w:t>
      </w:r>
    </w:p>
    <w:p>
      <w:pPr>
        <w:ind w:firstLine="900"/>
        <w:jc w:val="both"/>
        <w:rPr>
          <w:szCs w:val="24"/>
          <w:lang w:eastAsia="lt-LT"/>
        </w:rPr>
      </w:pPr>
      <w:r>
        <w:rPr>
          <w:szCs w:val="24"/>
          <w:lang w:eastAsia="lt-LT"/>
        </w:rPr>
        <w:t>2</w:t>
      </w:r>
      <w:r>
        <w:rPr>
          <w:szCs w:val="24"/>
          <w:lang w:eastAsia="lt-LT"/>
        </w:rPr>
        <w:t>) atitinka finansinio pajėgumo reikalavimus – įmonės finansinė atskaitomybė visais atžvilgiais teisingai atspindi įmonės finansinę būklę, veiklos rezultatus ir pinigų srautus, atitinka teisės aktų, reglamentuojančių finansinę apskaitą ir finansinės atskaitomybės sudarymą, reikalavimus, taip pat Lietuvos Respublikoje taikomus bendruosius apskaitos principus ir įmonė paskutinius 12 mėnesių yra moki; įmonės ekonominį pajėgumą apibūdinantys rodikliai atitinka susisiekimo ministro nustatytas geležinkelio įmonių (vežėjų) ekonominį pajėgumą apibūdinančių rodiklių kritines reikšmes; įmonė neturi mokestinės nepriemokos valstybės biudžetui, savivaldybių biudžetams ar fondams, į kuriuos mokamus mokesčius administruoja Valstybinė mokesčių inspekcija prie Lietuvos Respublikos finansų ministerijos (išskyrus atvejus, kai mokesčių, delspinigių, baudų mokėjimas atidėtas Lietuvos Respublikos teisės aktų nustatyta tvarka arba dėl šių mokesčių, delspinigių, baudų vyksta mokestinis ginčas), nėra skolinga Valstybinio socialinio draudimo fondo biudžetui;</w:t>
      </w:r>
    </w:p>
    <w:p>
      <w:pPr>
        <w:ind w:firstLine="900"/>
        <w:jc w:val="both"/>
        <w:rPr>
          <w:szCs w:val="24"/>
          <w:lang w:eastAsia="lt-LT"/>
        </w:rPr>
      </w:pPr>
      <w:r>
        <w:rPr>
          <w:szCs w:val="24"/>
          <w:lang w:eastAsia="lt-LT"/>
        </w:rPr>
        <w:t>3</w:t>
      </w:r>
      <w:r>
        <w:rPr>
          <w:szCs w:val="24"/>
          <w:lang w:eastAsia="lt-LT"/>
        </w:rPr>
        <w:t>) atitinka profesinės kompetencijos reikalavimus – įmonės valdymo struktūra, įmonės darbuotojų žinios ir patirtis užtikrina, kad bus laikomasi geležinkelių transporto eismo saugos reikalavimų ir licencijuojamos veiklos sąlygų;</w:t>
      </w:r>
    </w:p>
    <w:p>
      <w:pPr>
        <w:ind w:firstLine="900"/>
        <w:jc w:val="both"/>
        <w:rPr>
          <w:szCs w:val="24"/>
          <w:lang w:eastAsia="lt-LT"/>
        </w:rPr>
      </w:pPr>
      <w:r>
        <w:rPr>
          <w:szCs w:val="24"/>
          <w:lang w:eastAsia="lt-LT"/>
        </w:rPr>
        <w:t>4</w:t>
      </w:r>
      <w:r>
        <w:rPr>
          <w:szCs w:val="24"/>
          <w:lang w:eastAsia="lt-LT"/>
        </w:rPr>
        <w:t>) yra apdrausta šio Kodekso 101 straipsnyje nustatytu civilinės atsakomybės draudimu, galiojančiu visą laikotarpį, kurį geležinkelio įmonė (vežėjas) teikia keleivių, bagažo ir (ar) krovinių vežimo vietiniais ir (ar) tarptautiniais maršrutais paslaugas, naudodamasi geležinkelių linijomis.</w:t>
      </w:r>
    </w:p>
    <w:p>
      <w:pPr>
        <w:ind w:firstLine="900"/>
        <w:jc w:val="both"/>
        <w:rPr>
          <w:szCs w:val="24"/>
          <w:lang w:eastAsia="lt-LT"/>
        </w:rPr>
      </w:pPr>
      <w:r>
        <w:rPr>
          <w:szCs w:val="24"/>
          <w:lang w:eastAsia="lt-LT"/>
        </w:rPr>
        <w:t>3</w:t>
      </w:r>
      <w:r>
        <w:rPr>
          <w:szCs w:val="24"/>
          <w:lang w:eastAsia="lt-LT"/>
        </w:rPr>
        <w:t xml:space="preserve">. Geležinkelio įmonės (vežėjo) licencijas, vadovaudamasi nepriklausomumo, kompetencijos, nešališkumo, operatyvumo principais, išduoda, jų galiojimą sustabdo, galiojimo sustabdymą ir galiojimą panaikina </w:t>
      </w:r>
      <w:r>
        <w:rPr>
          <w:szCs w:val="24"/>
        </w:rPr>
        <w:t>eismo saugos institucija</w:t>
      </w:r>
      <w:r>
        <w:rPr>
          <w:szCs w:val="24"/>
          <w:lang w:eastAsia="lt-LT"/>
        </w:rPr>
        <w:t xml:space="preserve">. Dokumentai geležinkelio įmonės (vežėjo) licencijai gauti gali būti pateikiami per atstumą, elektroninėmis priemonėmis per kontaktinį centrą arba tiesiogiai kreipiantis į </w:t>
      </w:r>
      <w:r>
        <w:rPr>
          <w:szCs w:val="24"/>
        </w:rPr>
        <w:t>eismo saugos instituciją</w:t>
      </w:r>
      <w:r>
        <w:rPr>
          <w:szCs w:val="24"/>
          <w:lang w:eastAsia="lt-LT"/>
        </w:rPr>
        <w:t xml:space="preserve">. </w:t>
      </w:r>
    </w:p>
    <w:p>
      <w:pPr>
        <w:ind w:firstLine="900"/>
        <w:jc w:val="both"/>
        <w:rPr>
          <w:szCs w:val="24"/>
          <w:lang w:eastAsia="lt-LT"/>
        </w:rPr>
      </w:pPr>
      <w:r>
        <w:rPr>
          <w:szCs w:val="24"/>
          <w:lang w:eastAsia="lt-LT"/>
        </w:rPr>
        <w:t>4</w:t>
      </w:r>
      <w:r>
        <w:rPr>
          <w:szCs w:val="24"/>
          <w:lang w:eastAsia="lt-LT"/>
        </w:rPr>
        <w:t xml:space="preserve">. Išduodama elektroninės formos geležinkelio įmonės (vežėjo) licencija. Geležinkelio įmonės (vežėjo) licencijos galiojimą patvirtina įrašas </w:t>
      </w:r>
      <w:r>
        <w:rPr>
          <w:szCs w:val="24"/>
        </w:rPr>
        <w:t>eismo saugos institucijos</w:t>
      </w:r>
      <w:r>
        <w:rPr>
          <w:szCs w:val="24"/>
          <w:lang w:eastAsia="lt-LT"/>
        </w:rPr>
        <w:t xml:space="preserve"> viešai skelbiamame Geležinkelio įmonių (vežėjų) licencijų turėtojų sąraše. Geležinkelio įmonės (vežėjo) pageidavimu </w:t>
      </w:r>
      <w:r>
        <w:rPr>
          <w:szCs w:val="24"/>
        </w:rPr>
        <w:t>eismo saugos institucija</w:t>
      </w:r>
      <w:r>
        <w:rPr>
          <w:szCs w:val="24"/>
          <w:lang w:eastAsia="lt-LT"/>
        </w:rPr>
        <w:t xml:space="preserve"> išduoda pažymą, patvirtinančią, kad geležinkelio įmonei (vežėjui) išduota geležinkelio įmonės (vežėjo) licencija. Geležinkelio įmonės (vežėjo) licencijos išduodamos neterminuotam laikui. </w:t>
      </w:r>
    </w:p>
    <w:p>
      <w:pPr>
        <w:ind w:firstLine="900"/>
        <w:jc w:val="both"/>
        <w:rPr>
          <w:szCs w:val="24"/>
          <w:lang w:eastAsia="lt-LT"/>
        </w:rPr>
      </w:pPr>
      <w:r>
        <w:rPr>
          <w:szCs w:val="24"/>
          <w:lang w:eastAsia="lt-LT"/>
        </w:rPr>
        <w:t>5</w:t>
      </w:r>
      <w:r>
        <w:rPr>
          <w:szCs w:val="24"/>
          <w:lang w:eastAsia="lt-LT"/>
        </w:rPr>
        <w:t>. Geležinkelio įmonės (vežėjo) licencija turi būti išduota ne vėliau kaip per 30 dienų nuo visų geležinkelio įmonės (vežėjo) licencijai išduoti reikiamų dokumentų gavimo.</w:t>
      </w:r>
    </w:p>
    <w:p>
      <w:pPr>
        <w:ind w:firstLine="900"/>
        <w:jc w:val="both"/>
        <w:rPr>
          <w:szCs w:val="24"/>
          <w:lang w:eastAsia="lt-LT"/>
        </w:rPr>
      </w:pPr>
      <w:r>
        <w:rPr>
          <w:szCs w:val="24"/>
          <w:lang w:eastAsia="lt-LT"/>
        </w:rPr>
        <w:t>6</w:t>
      </w:r>
      <w:r>
        <w:rPr>
          <w:szCs w:val="24"/>
          <w:lang w:eastAsia="lt-LT"/>
        </w:rPr>
        <w:t xml:space="preserve">. </w:t>
      </w:r>
      <w:r>
        <w:rPr>
          <w:szCs w:val="24"/>
        </w:rPr>
        <w:t>Eismo saugos institucija</w:t>
      </w:r>
      <w:r>
        <w:rPr>
          <w:szCs w:val="24"/>
          <w:lang w:eastAsia="lt-LT"/>
        </w:rPr>
        <w:t xml:space="preserve">, nustačiusi, kad įmonė, pageidaujanti gauti geležinkelio įmonės (vežėjo) licenciją, pateikė ne visus reikiamus dokumentus, dokumentuose yra klaidingų ir (ar) netikslių duomenų, apie nustatytus trūkumus per 5 dienas nuo prašymo išduoti geležinkelio įmonės (vežėjo) licenciją ir pridedamų dokumentų gavimo dienos kartu su pranešimu, kad prašymas išduoti geležinkelio įmonės (vežėjo) licenciją ir pridedami dokumentai yra gauti, informuoja įmonę ir nustato 30 dienų terminą trūkumams pašalinti. Jeigu įmonė, pageidaujanti gauti geležinkelio įmonės (vežėjo) licenciją, per nustatytą laiką nepašalina nustatytų trūkumų ir (ar) nepateikia reikalaujamų dokumentų, </w:t>
      </w:r>
      <w:r>
        <w:rPr>
          <w:szCs w:val="24"/>
        </w:rPr>
        <w:t>eismo saugos institucija</w:t>
      </w:r>
      <w:r>
        <w:rPr>
          <w:szCs w:val="24"/>
          <w:lang w:eastAsia="lt-LT"/>
        </w:rPr>
        <w:t xml:space="preserve"> ne vėliau kaip per 5 dienas pasibaigus terminui pašalinti nustatytus trūkumus ir (ar) pateikti reikalaujamus dokumentus priima sprendimą prašymą išduoti geležinkelio įmonės (vežėjo) licenciją palikti nenagrinėtą ir per 5 dienas nuo šio sprendimo priėmimo apie tai informuoja įmonę, pageidaujančią gauti geležinkelio įmonės (vežėjo) licenciją. Įmonė, kuri pakartotinai pateikia prašymą išduoti geležinkelio įmonės (vežėjo) licenciją, gali neteikti dokumentų, kurie jau buvo pateikti pirmą kartą prašant išduoti geležinkelio įmonės (vežėjo) licenciją, jeigu nepasikeitė pateiktuose dokumentuose nurodyta informacija. Tuo atveju, kai pateikiami visi reikalaujami dokumentai ar per nustatytą terminą pateikiami trūkstami dokumentai, </w:t>
      </w:r>
      <w:r>
        <w:rPr>
          <w:szCs w:val="24"/>
        </w:rPr>
        <w:t>eismo saugos institucija</w:t>
      </w:r>
      <w:r>
        <w:rPr>
          <w:szCs w:val="24"/>
          <w:lang w:eastAsia="lt-LT"/>
        </w:rPr>
        <w:t xml:space="preserve"> apie tai per 5 dienas nuo šių dokumentų gavimo informuoja įmonę, pageidaujančią gauti geležinkelio įmonės (vežėjo) licenciją. Šioje dalyje nurodyta informacija įmonei, pageidaujančiai gauti geležinkelio įmonės (vežėjo) licenciją, pateikiama tokiu būdu, kokiu pateiktas prašymas išduoti geležinkelio įmonės (vežėjo) licenciją, išskyrus atvejus, kai prašyme išduoti geležinkelio įmonės (vežėjo) licenciją nurodytas kitoks informacijos gavimo būdas.</w:t>
      </w:r>
    </w:p>
    <w:p>
      <w:pPr>
        <w:ind w:firstLine="900"/>
        <w:jc w:val="both"/>
        <w:rPr>
          <w:szCs w:val="24"/>
          <w:lang w:eastAsia="lt-LT"/>
        </w:rPr>
      </w:pPr>
      <w:r>
        <w:rPr>
          <w:szCs w:val="24"/>
          <w:lang w:eastAsia="lt-LT"/>
        </w:rPr>
        <w:t>7</w:t>
      </w:r>
      <w:r>
        <w:rPr>
          <w:szCs w:val="24"/>
          <w:lang w:eastAsia="lt-LT"/>
        </w:rPr>
        <w:t xml:space="preserve">. </w:t>
      </w:r>
      <w:r>
        <w:rPr>
          <w:szCs w:val="24"/>
        </w:rPr>
        <w:t>Eismo saugos institucija</w:t>
      </w:r>
      <w:r>
        <w:rPr>
          <w:szCs w:val="24"/>
          <w:lang w:eastAsia="lt-LT"/>
        </w:rPr>
        <w:t xml:space="preserve"> priima sprendimą neišduoti geležinkelio įmonės (vežėjo) licencijos, jeigu įmonė, kuri pageidauja gauti geležinkelio įmonės (vežėjo) licenciją, neatitinka šio straipsnio 2 dalyje nustatytų reikalavimų. Sprendime neišduoti geležinkelio įmonės (vežėjo) licencijos privalo būti nurodytos tokio spendimo priežastys.</w:t>
      </w:r>
    </w:p>
    <w:p>
      <w:pPr>
        <w:ind w:firstLine="900"/>
        <w:jc w:val="both"/>
        <w:rPr>
          <w:szCs w:val="24"/>
          <w:lang w:eastAsia="lt-LT"/>
        </w:rPr>
      </w:pPr>
      <w:r>
        <w:rPr>
          <w:szCs w:val="24"/>
          <w:lang w:eastAsia="lt-LT"/>
        </w:rPr>
        <w:t>8</w:t>
      </w:r>
      <w:r>
        <w:rPr>
          <w:szCs w:val="24"/>
          <w:lang w:eastAsia="lt-LT"/>
        </w:rPr>
        <w:t>. Geležinkelio įmonės (vežėjo) licencijuojamos veiklos sąlygos:</w:t>
      </w:r>
    </w:p>
    <w:p>
      <w:pPr>
        <w:ind w:firstLine="900"/>
        <w:jc w:val="both"/>
        <w:rPr>
          <w:szCs w:val="24"/>
          <w:lang w:eastAsia="lt-LT"/>
        </w:rPr>
      </w:pPr>
      <w:r>
        <w:rPr>
          <w:szCs w:val="24"/>
          <w:lang w:eastAsia="lt-LT"/>
        </w:rPr>
        <w:t>1</w:t>
      </w:r>
      <w:r>
        <w:rPr>
          <w:szCs w:val="24"/>
          <w:lang w:eastAsia="lt-LT"/>
        </w:rPr>
        <w:t>) draudžiama savo vardu įgalioti kitas įmones vykdyti geležinkelio įmonės (vežėjo) licencijoje nurodytą veiklą;</w:t>
      </w:r>
    </w:p>
    <w:p>
      <w:pPr>
        <w:ind w:firstLine="900"/>
        <w:jc w:val="both"/>
        <w:rPr>
          <w:szCs w:val="24"/>
          <w:lang w:eastAsia="lt-LT"/>
        </w:rPr>
      </w:pPr>
      <w:r>
        <w:rPr>
          <w:szCs w:val="24"/>
          <w:lang w:eastAsia="lt-LT"/>
        </w:rPr>
        <w:t>2</w:t>
      </w:r>
      <w:r>
        <w:rPr>
          <w:szCs w:val="24"/>
          <w:lang w:eastAsia="lt-LT"/>
        </w:rPr>
        <w:t>) vykdydama licencijuojamą veiklą geležinkelio įmonė (vežėjas) turi atitikti šio straipsnio 2 dalyje nustatytus reikalavimus.</w:t>
      </w:r>
    </w:p>
    <w:p>
      <w:pPr>
        <w:ind w:firstLine="900"/>
        <w:jc w:val="both"/>
        <w:rPr>
          <w:szCs w:val="24"/>
          <w:lang w:eastAsia="lt-LT"/>
        </w:rPr>
      </w:pPr>
      <w:r>
        <w:rPr>
          <w:szCs w:val="24"/>
          <w:lang w:eastAsia="lt-LT"/>
        </w:rPr>
        <w:t>9</w:t>
      </w:r>
      <w:r>
        <w:rPr>
          <w:szCs w:val="24"/>
          <w:lang w:eastAsia="lt-LT"/>
        </w:rPr>
        <w:t>. Geležinkelio įmonės (vežėjo) teisės ir pareigos:</w:t>
      </w:r>
    </w:p>
    <w:p>
      <w:pPr>
        <w:ind w:firstLine="900"/>
        <w:jc w:val="both"/>
        <w:rPr>
          <w:szCs w:val="24"/>
          <w:lang w:eastAsia="lt-LT"/>
        </w:rPr>
      </w:pPr>
      <w:r>
        <w:rPr>
          <w:szCs w:val="24"/>
          <w:lang w:eastAsia="lt-LT"/>
        </w:rPr>
        <w:t>1</w:t>
      </w:r>
      <w:r>
        <w:rPr>
          <w:szCs w:val="24"/>
          <w:lang w:eastAsia="lt-LT"/>
        </w:rPr>
        <w:t>) pateikti prašymą panaikinti geležinkelio įmonės (vežėjo) licencijos galiojimą;</w:t>
      </w:r>
    </w:p>
    <w:p>
      <w:pPr>
        <w:ind w:firstLine="900"/>
        <w:jc w:val="both"/>
        <w:rPr>
          <w:szCs w:val="24"/>
          <w:lang w:eastAsia="lt-LT"/>
        </w:rPr>
      </w:pPr>
      <w:r>
        <w:rPr>
          <w:szCs w:val="24"/>
          <w:lang w:eastAsia="lt-LT"/>
        </w:rPr>
        <w:t>2</w:t>
      </w:r>
      <w:r>
        <w:rPr>
          <w:szCs w:val="24"/>
          <w:lang w:eastAsia="lt-LT"/>
        </w:rPr>
        <w:t>) pateikti prašymą sustabdyti geležinkelio įmonės (vežėjo) licencijos galiojimą, jeigu geležinkelio įmonė (vežėjas) neketina vykdyti licencijuojamos veiklos ilgiau kaip 6 mėnesius arba neketina pradėti vykdyti licencijuojamos veiklos per 6 mėnesius nuo geležinkelio įmonės (vežėjo) licencijos išdavimo dienos;</w:t>
      </w:r>
    </w:p>
    <w:p>
      <w:pPr>
        <w:ind w:firstLine="900"/>
        <w:jc w:val="both"/>
        <w:rPr>
          <w:szCs w:val="24"/>
          <w:lang w:eastAsia="lt-LT"/>
        </w:rPr>
      </w:pPr>
      <w:r>
        <w:rPr>
          <w:szCs w:val="24"/>
          <w:lang w:eastAsia="lt-LT"/>
        </w:rPr>
        <w:t>3</w:t>
      </w:r>
      <w:r>
        <w:rPr>
          <w:szCs w:val="24"/>
          <w:lang w:eastAsia="lt-LT"/>
        </w:rPr>
        <w:t>) teisės aktų nustatyta tvarka apskųsti sprendimus dėl geležinkelio įmonės (vežėjo) licencijos galiojimo sustabdymo, galiojimo panaikinimo, atsisakymo išduoti ar pakeisti geležinkelio įmonės (vežėjo) licenciją;</w:t>
      </w:r>
    </w:p>
    <w:p>
      <w:pPr>
        <w:ind w:firstLine="900"/>
        <w:jc w:val="both"/>
        <w:rPr>
          <w:szCs w:val="24"/>
          <w:lang w:eastAsia="lt-LT"/>
        </w:rPr>
      </w:pPr>
      <w:r>
        <w:rPr>
          <w:szCs w:val="24"/>
          <w:lang w:eastAsia="lt-LT"/>
        </w:rPr>
        <w:t>4</w:t>
      </w:r>
      <w:r>
        <w:rPr>
          <w:szCs w:val="24"/>
          <w:lang w:eastAsia="lt-LT"/>
        </w:rPr>
        <w:t xml:space="preserve">) geležinkelio įmonė (vežėjas) per 10 dienų nuo geležinkelio įmonės (vežėjo) pavadinimo, teisinės formos arba buveinės adreso pasikeitimo turi apie tai pranešti </w:t>
      </w:r>
      <w:r>
        <w:rPr>
          <w:szCs w:val="24"/>
        </w:rPr>
        <w:t>eismo saugos institucijai</w:t>
      </w:r>
      <w:r>
        <w:rPr>
          <w:szCs w:val="24"/>
          <w:lang w:eastAsia="lt-LT"/>
        </w:rPr>
        <w:t xml:space="preserve"> ir pateikti prašymą pakeisti turimą licenciją;</w:t>
      </w:r>
    </w:p>
    <w:p>
      <w:pPr>
        <w:ind w:firstLine="900"/>
        <w:jc w:val="both"/>
        <w:rPr>
          <w:szCs w:val="24"/>
          <w:lang w:eastAsia="lt-LT"/>
        </w:rPr>
      </w:pPr>
      <w:r>
        <w:rPr>
          <w:szCs w:val="24"/>
          <w:lang w:eastAsia="lt-LT"/>
        </w:rPr>
        <w:t>5</w:t>
      </w:r>
      <w:r>
        <w:rPr>
          <w:szCs w:val="24"/>
          <w:lang w:eastAsia="lt-LT"/>
        </w:rPr>
        <w:t xml:space="preserve">) geležinkelio įmonė (vežėjas) ne vėliau kaip per 3 darbo dienas nuo geležinkelio įmonės (vežėjo) apdraudimo šio Kodekso 101 straipsnyje nustatytu civilinės atsakomybės draudimu turi apie tai pranešti </w:t>
      </w:r>
      <w:r>
        <w:rPr>
          <w:szCs w:val="24"/>
        </w:rPr>
        <w:t>eismo saugos institucijai</w:t>
      </w:r>
      <w:r>
        <w:rPr>
          <w:szCs w:val="24"/>
          <w:lang w:eastAsia="lt-LT"/>
        </w:rPr>
        <w:t xml:space="preserve"> ir pateikti tai patvirtinančių dokumentų kopijas;</w:t>
      </w:r>
    </w:p>
    <w:p>
      <w:pPr>
        <w:ind w:firstLine="900"/>
        <w:jc w:val="both"/>
        <w:rPr>
          <w:szCs w:val="24"/>
          <w:lang w:eastAsia="lt-LT"/>
        </w:rPr>
      </w:pPr>
      <w:r>
        <w:rPr>
          <w:szCs w:val="24"/>
          <w:lang w:eastAsia="lt-LT"/>
        </w:rPr>
        <w:t>6</w:t>
      </w:r>
      <w:r>
        <w:rPr>
          <w:szCs w:val="24"/>
          <w:lang w:eastAsia="lt-LT"/>
        </w:rPr>
        <w:t xml:space="preserve">) susijungus įmonėms arba įsigijus naują įmonę, pasikeitus geležinkelio įmonės (vežėjo) valdymo organų nariui ar nariams, vadovui ar jo įgaliotiems asmenims, kuriems pavesta vadovauti keleivių, bagažo ir (ar) krovinių vežimo geležinkelių transportu veiklai, taip pat kai dalyvaujanti reorganizavime įmonė nepasibaigia, bet pasikeičia geležinkelio įmonės (vežėjo) dalyviai, nuosavybės teise tiesiogiai arba netiesiogiai valdantys mažiausiai 34 procentus įmonės akcijų (pajų, įnašų ir panašiai), geležinkelio įmonė (vežėjas) per 10 dienų atitinkamai nuo geležinkelio įmonės (vežėjo) reorganizavimo pabaigos, valdymo organų narių, vadovo ar jo įgaliotų asmenų pasikeitimo turi apie tai pranešti </w:t>
      </w:r>
      <w:r>
        <w:rPr>
          <w:szCs w:val="24"/>
        </w:rPr>
        <w:t>eismo saugos institucijai</w:t>
      </w:r>
      <w:r>
        <w:rPr>
          <w:szCs w:val="24"/>
          <w:lang w:eastAsia="lt-LT"/>
        </w:rPr>
        <w:t xml:space="preserve"> ir pateikti šiame punkte nurodytų asmenų atitiktį šio straipsnio 2 dalies 1 punkte nustatytiems reikalavimams patvirtinančių dokumentų kopijas, jeigu tokie dokumentai nebuvo pateikti kartu su prašymu išduoti geležinkelio įmonės (vežėjo) licenciją; </w:t>
      </w:r>
    </w:p>
    <w:p>
      <w:pPr>
        <w:ind w:firstLine="900"/>
        <w:jc w:val="both"/>
        <w:rPr>
          <w:szCs w:val="24"/>
          <w:lang w:eastAsia="lt-LT"/>
        </w:rPr>
      </w:pPr>
      <w:r>
        <w:rPr>
          <w:szCs w:val="24"/>
          <w:lang w:eastAsia="lt-LT"/>
        </w:rPr>
        <w:t>7</w:t>
      </w:r>
      <w:r>
        <w:rPr>
          <w:szCs w:val="24"/>
          <w:lang w:eastAsia="lt-LT"/>
        </w:rPr>
        <w:t xml:space="preserve">) geležinkelio įmonė (vežėjas), ketinanti pakeisti arba išplėsti licencijuojamą veiklą, nurodytą geležinkelio įmonės (vežėjo) licencijoje, per 10 dienų nuo sprendimo pakeisti arba išplėsti licencijuojamą veiklą priėmimo turi apie tai pranešti </w:t>
      </w:r>
      <w:r>
        <w:rPr>
          <w:szCs w:val="24"/>
        </w:rPr>
        <w:t>eismo saugos institucijai</w:t>
      </w:r>
      <w:r>
        <w:rPr>
          <w:szCs w:val="24"/>
          <w:lang w:eastAsia="lt-LT"/>
        </w:rPr>
        <w:t xml:space="preserve"> ir pateikti prašymą pakeisti turimą licenciją, taip pat geležinkelio įmonės (vežėjo) atitiktį šio straipsnio 2 dalyje nustatytiems reikalavimams patvirtinančių dokumentų kopijas, jeigu ji tokių dokumentų nebuvo pateikusi kartu su prašymu išduoti turimą geležinkelio įmonės (vežėjo) licenciją;</w:t>
      </w:r>
    </w:p>
    <w:p>
      <w:pPr>
        <w:ind w:firstLine="900"/>
        <w:jc w:val="both"/>
        <w:rPr>
          <w:szCs w:val="24"/>
          <w:lang w:eastAsia="lt-LT"/>
        </w:rPr>
      </w:pPr>
      <w:r>
        <w:rPr>
          <w:szCs w:val="24"/>
          <w:lang w:eastAsia="lt-LT"/>
        </w:rPr>
        <w:t>8</w:t>
      </w:r>
      <w:r>
        <w:rPr>
          <w:szCs w:val="24"/>
          <w:lang w:eastAsia="lt-LT"/>
        </w:rPr>
        <w:t xml:space="preserve">) sudaryti sąlygas </w:t>
      </w:r>
      <w:r>
        <w:rPr>
          <w:szCs w:val="24"/>
        </w:rPr>
        <w:t>eismo saugos institucijos</w:t>
      </w:r>
      <w:r>
        <w:rPr>
          <w:szCs w:val="24"/>
          <w:lang w:eastAsia="lt-LT"/>
        </w:rPr>
        <w:t xml:space="preserve"> darbuotojams tikrinti keleivių, bagažo ir (ar) krovinių vežimo vietiniais ir (ar) tarptautiniais maršrutais paslaugų teikimą naudojantis geležinkelių linijomis ir pateiktą informaciją, susijusią su licencijuojama veikla.</w:t>
      </w:r>
    </w:p>
    <w:p>
      <w:pPr>
        <w:ind w:firstLine="900"/>
        <w:jc w:val="both"/>
        <w:rPr>
          <w:szCs w:val="24"/>
          <w:lang w:eastAsia="lt-LT"/>
        </w:rPr>
      </w:pPr>
      <w:r>
        <w:rPr>
          <w:szCs w:val="24"/>
          <w:lang w:eastAsia="lt-LT"/>
        </w:rPr>
        <w:t>10</w:t>
      </w:r>
      <w:r>
        <w:rPr>
          <w:szCs w:val="24"/>
          <w:lang w:eastAsia="lt-LT"/>
        </w:rPr>
        <w:t xml:space="preserve">. Geležinkelio įmonės (vežėjo) licencijuojamos veiklos priežiūrą atlieka </w:t>
      </w:r>
      <w:r>
        <w:rPr>
          <w:szCs w:val="24"/>
        </w:rPr>
        <w:t>eismo saugos institucija</w:t>
      </w:r>
      <w:r>
        <w:rPr>
          <w:szCs w:val="24"/>
          <w:lang w:eastAsia="lt-LT"/>
        </w:rPr>
        <w:t xml:space="preserve"> </w:t>
      </w:r>
      <w:r>
        <w:rPr>
          <w:szCs w:val="24"/>
          <w:lang w:eastAsia="lt-LT"/>
        </w:rPr>
        <w:t>Viešojo administravimo įstatymo</w:t>
      </w:r>
      <w:r>
        <w:rPr>
          <w:szCs w:val="24"/>
          <w:lang w:eastAsia="lt-LT"/>
        </w:rPr>
        <w:t xml:space="preserve"> ir kitų teisės aktų nustatyta tvarka.</w:t>
      </w:r>
    </w:p>
    <w:p>
      <w:pPr>
        <w:ind w:firstLine="900"/>
        <w:jc w:val="both"/>
        <w:rPr>
          <w:szCs w:val="24"/>
          <w:lang w:eastAsia="lt-LT"/>
        </w:rPr>
      </w:pPr>
      <w:r>
        <w:rPr>
          <w:szCs w:val="24"/>
          <w:lang w:eastAsia="lt-LT"/>
        </w:rPr>
        <w:t>11</w:t>
      </w:r>
      <w:r>
        <w:rPr>
          <w:szCs w:val="24"/>
          <w:lang w:eastAsia="lt-LT"/>
        </w:rPr>
        <w:t xml:space="preserve">. </w:t>
      </w:r>
      <w:r>
        <w:rPr>
          <w:szCs w:val="24"/>
        </w:rPr>
        <w:t>Eismo saugos institucija</w:t>
      </w:r>
      <w:r>
        <w:rPr>
          <w:szCs w:val="24"/>
          <w:lang w:eastAsia="lt-LT"/>
        </w:rPr>
        <w:t xml:space="preserve"> priima sprendimą sustabdyti geležinkelio įmonės (vežėjo) licencijos galiojimą, jeigu:</w:t>
      </w:r>
    </w:p>
    <w:p>
      <w:pPr>
        <w:ind w:firstLine="900"/>
        <w:jc w:val="both"/>
        <w:rPr>
          <w:szCs w:val="24"/>
          <w:lang w:eastAsia="lt-LT"/>
        </w:rPr>
      </w:pPr>
      <w:r>
        <w:rPr>
          <w:szCs w:val="24"/>
          <w:lang w:eastAsia="lt-LT"/>
        </w:rPr>
        <w:t>1</w:t>
      </w:r>
      <w:r>
        <w:rPr>
          <w:szCs w:val="24"/>
          <w:lang w:eastAsia="lt-LT"/>
        </w:rPr>
        <w:t>) geležinkelio įmonė (vežėjas) pateikia prašymą sustabdyti geležinkelio įmonės (vežėjo) licencijos galiojimą, kadangi geležinkelio įmonė (vežėjas) neketina vykdyti licencijuojamos veiklos ilgiau kaip 6 mėnesius arba neketina pradėti vykdyti licencijuojamos veiklos per 6 mėnesius nuo geležinkelio įmonės (vežėjo) licencijos išdavimo dienos;</w:t>
      </w:r>
    </w:p>
    <w:p>
      <w:pPr>
        <w:ind w:firstLine="900"/>
        <w:jc w:val="both"/>
        <w:rPr>
          <w:szCs w:val="24"/>
          <w:lang w:eastAsia="lt-LT"/>
        </w:rPr>
      </w:pPr>
      <w:r>
        <w:rPr>
          <w:szCs w:val="24"/>
          <w:lang w:eastAsia="lt-LT"/>
        </w:rPr>
        <w:t>2</w:t>
      </w:r>
      <w:r>
        <w:rPr>
          <w:szCs w:val="24"/>
          <w:lang w:eastAsia="lt-LT"/>
        </w:rPr>
        <w:t xml:space="preserve">) per </w:t>
      </w:r>
      <w:r>
        <w:rPr>
          <w:szCs w:val="24"/>
        </w:rPr>
        <w:t>eismo saugos institucijos</w:t>
      </w:r>
      <w:r>
        <w:rPr>
          <w:szCs w:val="24"/>
          <w:lang w:eastAsia="lt-LT"/>
        </w:rPr>
        <w:t xml:space="preserve"> nustatytą terminą nepašalinami licencijuojamos veiklos sąlygų, nurodytų šio straipsnio 8 dalyje, pažeidimai, dėl kurių geležinkelio įmonė (vežėjas) įspėta Viešojo administravimo įstatymo nustatyta tvarka;</w:t>
      </w:r>
    </w:p>
    <w:p>
      <w:pPr>
        <w:ind w:firstLine="900"/>
        <w:jc w:val="both"/>
        <w:rPr>
          <w:szCs w:val="24"/>
          <w:lang w:eastAsia="lt-LT"/>
        </w:rPr>
      </w:pPr>
      <w:r>
        <w:rPr>
          <w:szCs w:val="24"/>
          <w:lang w:eastAsia="lt-LT"/>
        </w:rPr>
        <w:t>3</w:t>
      </w:r>
      <w:r>
        <w:rPr>
          <w:szCs w:val="24"/>
          <w:lang w:eastAsia="lt-LT"/>
        </w:rPr>
        <w:t xml:space="preserve">) paaiškėja, kad geležinkelio įmonės (vežėjo) licencijai gauti pateikti klaidingi duomenys ir geležinkelio įmonė (vežėjas) per </w:t>
      </w:r>
      <w:r>
        <w:rPr>
          <w:szCs w:val="24"/>
        </w:rPr>
        <w:t>eismo saugos institucijos</w:t>
      </w:r>
      <w:r>
        <w:rPr>
          <w:szCs w:val="24"/>
          <w:lang w:eastAsia="lt-LT"/>
        </w:rPr>
        <w:t xml:space="preserve"> nustatytą terminą nepateikia ištaisytų ar tikrovę atitinkančių dokumentų.</w:t>
      </w:r>
    </w:p>
    <w:p>
      <w:pPr>
        <w:ind w:firstLine="900"/>
        <w:jc w:val="both"/>
        <w:rPr>
          <w:szCs w:val="24"/>
          <w:lang w:eastAsia="lt-LT"/>
        </w:rPr>
      </w:pPr>
      <w:r>
        <w:rPr>
          <w:szCs w:val="24"/>
          <w:lang w:eastAsia="lt-LT"/>
        </w:rPr>
        <w:t>12</w:t>
      </w:r>
      <w:r>
        <w:rPr>
          <w:szCs w:val="24"/>
          <w:lang w:eastAsia="lt-LT"/>
        </w:rPr>
        <w:t xml:space="preserve">. </w:t>
      </w:r>
      <w:r>
        <w:rPr>
          <w:szCs w:val="24"/>
        </w:rPr>
        <w:t>Eismo saugos institucija</w:t>
      </w:r>
      <w:r>
        <w:rPr>
          <w:szCs w:val="24"/>
          <w:lang w:eastAsia="lt-LT"/>
        </w:rPr>
        <w:t xml:space="preserve"> priima sprendimą panaikinti geležinkelio įmonės (vežėjo) licencijos galiojimo sustabdymą, kai geležinkelio įmonė (vežėjas) pateikia dokumentus, įrodančius, kad pažeidimai ar priežastys, dėl kurių geležinkelio įmonės (vežėjo) licencijos galiojimas sustabdytas, yra pašalinti.</w:t>
      </w:r>
    </w:p>
    <w:p>
      <w:pPr>
        <w:ind w:firstLine="900"/>
        <w:jc w:val="both"/>
        <w:rPr>
          <w:szCs w:val="24"/>
          <w:lang w:eastAsia="lt-LT"/>
        </w:rPr>
      </w:pPr>
      <w:r>
        <w:rPr>
          <w:szCs w:val="24"/>
          <w:lang w:eastAsia="lt-LT"/>
        </w:rPr>
        <w:t>13</w:t>
      </w:r>
      <w:r>
        <w:rPr>
          <w:szCs w:val="24"/>
          <w:lang w:eastAsia="lt-LT"/>
        </w:rPr>
        <w:t xml:space="preserve">. </w:t>
      </w:r>
      <w:r>
        <w:rPr>
          <w:szCs w:val="24"/>
        </w:rPr>
        <w:t>Eismo saugos institucija</w:t>
      </w:r>
      <w:r>
        <w:rPr>
          <w:szCs w:val="24"/>
          <w:lang w:eastAsia="lt-LT"/>
        </w:rPr>
        <w:t xml:space="preserve"> priima sprendimą panaikinti geležinkelio įmonės (vežėjo) licencijos galiojimą, kai:</w:t>
      </w:r>
    </w:p>
    <w:p>
      <w:pPr>
        <w:ind w:firstLine="900"/>
        <w:jc w:val="both"/>
        <w:rPr>
          <w:szCs w:val="24"/>
          <w:lang w:eastAsia="lt-LT"/>
        </w:rPr>
      </w:pPr>
      <w:r>
        <w:rPr>
          <w:szCs w:val="24"/>
          <w:lang w:eastAsia="lt-LT"/>
        </w:rPr>
        <w:t>1</w:t>
      </w:r>
      <w:r>
        <w:rPr>
          <w:szCs w:val="24"/>
          <w:lang w:eastAsia="lt-LT"/>
        </w:rPr>
        <w:t>) geležinkelio įmonė (vežėjas) pateikia prašymą panaikinti geležinkelio įmonės (vežėjo) licencijos galiojimą;</w:t>
      </w:r>
    </w:p>
    <w:p>
      <w:pPr>
        <w:ind w:firstLine="900"/>
        <w:jc w:val="both"/>
        <w:rPr>
          <w:szCs w:val="24"/>
          <w:lang w:eastAsia="lt-LT"/>
        </w:rPr>
      </w:pPr>
      <w:r>
        <w:rPr>
          <w:szCs w:val="24"/>
          <w:lang w:eastAsia="lt-LT"/>
        </w:rPr>
        <w:t>2</w:t>
      </w:r>
      <w:r>
        <w:rPr>
          <w:szCs w:val="24"/>
          <w:lang w:eastAsia="lt-LT"/>
        </w:rPr>
        <w:t xml:space="preserve">) per </w:t>
      </w:r>
      <w:r>
        <w:rPr>
          <w:szCs w:val="24"/>
        </w:rPr>
        <w:t>eismo saugos institucijos</w:t>
      </w:r>
      <w:r>
        <w:rPr>
          <w:szCs w:val="24"/>
          <w:lang w:eastAsia="lt-LT"/>
        </w:rPr>
        <w:t xml:space="preserve"> nustatytą laiką nepašalinamos priežastys ar pažeidimai, dėl kurių sustabdytas geležinkelio įmonės (vežėjo) licencijos galiojimas;</w:t>
      </w:r>
    </w:p>
    <w:p>
      <w:pPr>
        <w:ind w:firstLine="900"/>
        <w:jc w:val="both"/>
        <w:rPr>
          <w:szCs w:val="24"/>
          <w:lang w:eastAsia="lt-LT"/>
        </w:rPr>
      </w:pPr>
      <w:r>
        <w:rPr>
          <w:szCs w:val="24"/>
          <w:lang w:eastAsia="lt-LT"/>
        </w:rPr>
        <w:t>3</w:t>
      </w:r>
      <w:r>
        <w:rPr>
          <w:szCs w:val="24"/>
          <w:lang w:eastAsia="lt-LT"/>
        </w:rPr>
        <w:t>) paaiškėja, kad geležinkelio įmonės (vežėjo) licencijai gauti pateikti suklastoti dokumentai;</w:t>
      </w:r>
    </w:p>
    <w:p>
      <w:pPr>
        <w:ind w:firstLine="900"/>
        <w:jc w:val="both"/>
        <w:rPr>
          <w:szCs w:val="24"/>
          <w:lang w:eastAsia="lt-LT"/>
        </w:rPr>
      </w:pPr>
      <w:r>
        <w:rPr>
          <w:szCs w:val="24"/>
          <w:lang w:eastAsia="lt-LT"/>
        </w:rPr>
        <w:t>4</w:t>
      </w:r>
      <w:r>
        <w:rPr>
          <w:szCs w:val="24"/>
          <w:lang w:eastAsia="lt-LT"/>
        </w:rPr>
        <w:t>) geležinkelio įmonė (vežėjas), kurios licencijos galiojimas sustabdytas, vykdo geležinkelio įmonės (vežėjo) licencijoje nurodytą veiklą;</w:t>
      </w:r>
    </w:p>
    <w:p>
      <w:pPr>
        <w:ind w:firstLine="900"/>
        <w:jc w:val="both"/>
        <w:rPr>
          <w:szCs w:val="24"/>
          <w:lang w:eastAsia="lt-LT"/>
        </w:rPr>
      </w:pPr>
      <w:r>
        <w:rPr>
          <w:szCs w:val="24"/>
          <w:lang w:eastAsia="lt-LT"/>
        </w:rPr>
        <w:t>5</w:t>
      </w:r>
      <w:r>
        <w:rPr>
          <w:szCs w:val="24"/>
          <w:lang w:eastAsia="lt-LT"/>
        </w:rPr>
        <w:t xml:space="preserve">) geležinkelio įmonei (vežėjui) pradėta bankroto procedūra (jeigu </w:t>
      </w:r>
      <w:r>
        <w:rPr>
          <w:szCs w:val="24"/>
        </w:rPr>
        <w:t>eismo saugos institucija</w:t>
      </w:r>
      <w:r>
        <w:rPr>
          <w:szCs w:val="24"/>
          <w:lang w:eastAsia="lt-LT"/>
        </w:rPr>
        <w:t xml:space="preserve"> yra įsitikinusi, kad per pagrįstą laikotarpį pertvarkyti geležinkelio įmonę (vežėją) finansiškai nėra realios galimybės);</w:t>
      </w:r>
    </w:p>
    <w:p>
      <w:pPr>
        <w:ind w:firstLine="900"/>
        <w:jc w:val="both"/>
        <w:rPr>
          <w:szCs w:val="24"/>
          <w:lang w:eastAsia="lt-LT"/>
        </w:rPr>
      </w:pPr>
      <w:r>
        <w:rPr>
          <w:szCs w:val="24"/>
          <w:lang w:eastAsia="lt-LT"/>
        </w:rPr>
        <w:t>6</w:t>
      </w:r>
      <w:r>
        <w:rPr>
          <w:szCs w:val="24"/>
          <w:lang w:eastAsia="lt-LT"/>
        </w:rPr>
        <w:t>) geležinkelio įmonė (vežėjas) likviduojama;</w:t>
      </w:r>
    </w:p>
    <w:p>
      <w:pPr>
        <w:ind w:firstLine="900"/>
        <w:jc w:val="both"/>
        <w:rPr>
          <w:szCs w:val="24"/>
          <w:lang w:eastAsia="lt-LT"/>
        </w:rPr>
      </w:pPr>
      <w:r>
        <w:rPr>
          <w:szCs w:val="24"/>
          <w:lang w:eastAsia="lt-LT"/>
        </w:rPr>
        <w:t>7</w:t>
      </w:r>
      <w:r>
        <w:rPr>
          <w:szCs w:val="24"/>
          <w:lang w:eastAsia="lt-LT"/>
        </w:rPr>
        <w:t xml:space="preserve">) geležinkelio įmonė (vežėjas) nevykdo licencijuojamos veiklos ilgiau kaip pastaruosius 6 mėnesius arba nepradėjo vykdyti licencijuojamos veiklos per 6 mėnesius nuo geležinkelio įmonės (vežėjo) licencijos išdavimo dienos ir nepateikė </w:t>
      </w:r>
      <w:r>
        <w:rPr>
          <w:szCs w:val="24"/>
        </w:rPr>
        <w:t>eismo saugos institucijai</w:t>
      </w:r>
      <w:r>
        <w:rPr>
          <w:szCs w:val="24"/>
          <w:lang w:eastAsia="lt-LT"/>
        </w:rPr>
        <w:t xml:space="preserve"> prašymo sustabdyti geležinkelio įmonės (vežėjo) licencijos galiojimą;</w:t>
      </w:r>
    </w:p>
    <w:p>
      <w:pPr>
        <w:ind w:firstLine="900"/>
        <w:jc w:val="both"/>
        <w:rPr>
          <w:szCs w:val="24"/>
          <w:lang w:eastAsia="lt-LT"/>
        </w:rPr>
      </w:pPr>
      <w:r>
        <w:rPr>
          <w:szCs w:val="24"/>
          <w:lang w:eastAsia="lt-LT"/>
        </w:rPr>
        <w:t>8</w:t>
      </w:r>
      <w:r>
        <w:rPr>
          <w:szCs w:val="24"/>
          <w:lang w:eastAsia="lt-LT"/>
        </w:rPr>
        <w:t>) geležinkelio įmonė (vežėjas) pakartotinai per kalendorinius metus pažeidžia licencijuojamos veiklos sąlygas ir dėl šių pažeidimų sukeliamas pavojus žmonių sveikatai, gyvybei ar padaroma didelė žala asmenų turtiniams interesams ir nėra atsakomybę lengvinančių aplinkybių.</w:t>
      </w:r>
    </w:p>
    <w:p>
      <w:pPr>
        <w:ind w:firstLine="900"/>
        <w:jc w:val="both"/>
        <w:rPr>
          <w:szCs w:val="24"/>
          <w:lang w:eastAsia="lt-LT"/>
        </w:rPr>
      </w:pPr>
      <w:r>
        <w:rPr>
          <w:szCs w:val="24"/>
          <w:lang w:eastAsia="lt-LT"/>
        </w:rPr>
        <w:t>14</w:t>
      </w:r>
      <w:r>
        <w:rPr>
          <w:szCs w:val="24"/>
          <w:lang w:eastAsia="lt-LT"/>
        </w:rPr>
        <w:t xml:space="preserve">. Nustačiusi šio straipsnio 11 dalyje nurodytų reikalavimų nesilaikymo ar netinkamo taikymo faktą, kurį atsižvelgiant į konkrečias aplinkybes ir veiksnius galima vertinti kaip mažareikšmį, </w:t>
      </w:r>
      <w:r>
        <w:rPr>
          <w:szCs w:val="24"/>
        </w:rPr>
        <w:t>eismo saugos institucija</w:t>
      </w:r>
      <w:r>
        <w:rPr>
          <w:szCs w:val="24"/>
          <w:lang w:eastAsia="lt-LT"/>
        </w:rPr>
        <w:t xml:space="preserve"> turi teisę priimti sprendimą nestabdyti geležinkelio įmonės (vežėjo) licencijos galiojimo, o pareikšti geležinkelio įmonei (vežėjui) žodinę pastabą arba pateikti rašytinį nurodymą ir nustatyti protingą terminą pažeidimams pašalinti. Šis terminas, atsižvelgiant į objektyvias aplinkybes, gali būti pratęstas. Mažareikšmis teisės aktų reikalavimų pažeidimas suprantamas kaip veika, pažeidžianti teisės aktų reikalavimus, kurių pažeidimas nepadarė žalos viešajam interesui ar žmonių sveikatai, gyvybei ir kitiems šio Kodekso saugomiems interesams, arba tokia žala labai nedidelė.</w:t>
      </w:r>
    </w:p>
    <w:p>
      <w:pPr>
        <w:ind w:firstLine="900"/>
        <w:jc w:val="both"/>
        <w:rPr>
          <w:szCs w:val="24"/>
          <w:lang w:eastAsia="lt-LT"/>
        </w:rPr>
      </w:pPr>
      <w:r>
        <w:rPr>
          <w:szCs w:val="24"/>
          <w:lang w:eastAsia="lt-LT"/>
        </w:rPr>
        <w:t>15</w:t>
      </w:r>
      <w:r>
        <w:rPr>
          <w:szCs w:val="24"/>
          <w:lang w:eastAsia="lt-LT"/>
        </w:rPr>
        <w:t>. Reikalavimai, susiję su geležinkelio įmonės (vežėjo) licencijos išdavimu, pakeitimu, atsisakymu išduoti licenciją, geležinkelio įmonės (vežėjo) licencijos galiojimo sustabdymu, galiojimo sustabdymo panaikinimu, galiojimo panaikinimu, licencijuojamos veiklos sąlygų laikymusi, įgyvendinimo tvarka nustatomi Geležinkelio įmonių (vežėjų) licencijavimo taisyklėse, kurias tvirtina Vyriausybė.“</w:t>
      </w:r>
    </w:p>
    <w:p>
      <w:pPr>
        <w:ind w:firstLine="900"/>
        <w:jc w:val="both"/>
        <w:rPr>
          <w:szCs w:val="24"/>
          <w:lang w:eastAsia="lt-LT"/>
        </w:rPr>
      </w:pPr>
    </w:p>
    <w:p>
      <w:pPr>
        <w:ind w:firstLine="851"/>
        <w:jc w:val="both"/>
        <w:rPr>
          <w:b/>
          <w:szCs w:val="24"/>
        </w:rPr>
      </w:pPr>
    </w:p>
    <w:p>
      <w:pPr>
        <w:ind w:firstLine="851"/>
        <w:jc w:val="both"/>
        <w:rPr>
          <w:b/>
          <w:szCs w:val="24"/>
        </w:rPr>
      </w:pPr>
      <w:r>
        <w:rPr>
          <w:b/>
          <w:szCs w:val="24"/>
        </w:rPr>
        <w:t>3</w:t>
      </w:r>
      <w:r>
        <w:rPr>
          <w:b/>
          <w:szCs w:val="24"/>
        </w:rPr>
        <w:t xml:space="preserve"> straipsnis. </w:t>
      </w:r>
      <w:r>
        <w:rPr>
          <w:b/>
          <w:szCs w:val="24"/>
        </w:rPr>
        <w:t>11 straipsnio pakeitimas</w:t>
      </w:r>
    </w:p>
    <w:p>
      <w:pPr>
        <w:ind w:firstLine="900"/>
        <w:jc w:val="both"/>
        <w:rPr>
          <w:szCs w:val="24"/>
        </w:rPr>
      </w:pPr>
      <w:r>
        <w:rPr>
          <w:szCs w:val="24"/>
        </w:rPr>
        <w:t>Pakeisti 11 straipsnio 5 dalies pirmąją pastraipą ir ją išdėstyti taip:</w:t>
      </w:r>
    </w:p>
    <w:p>
      <w:pPr>
        <w:ind w:firstLine="900"/>
        <w:jc w:val="both"/>
        <w:rPr>
          <w:szCs w:val="24"/>
          <w:lang w:eastAsia="lt-LT"/>
        </w:rPr>
      </w:pPr>
      <w:r>
        <w:rPr>
          <w:szCs w:val="24"/>
          <w:lang w:eastAsia="lt-LT"/>
        </w:rPr>
        <w:t>„</w:t>
      </w:r>
      <w:r>
        <w:rPr>
          <w:szCs w:val="24"/>
          <w:lang w:eastAsia="lt-LT"/>
        </w:rPr>
        <w:t>5</w:t>
      </w:r>
      <w:r>
        <w:rPr>
          <w:szCs w:val="24"/>
          <w:lang w:eastAsia="lt-LT"/>
        </w:rPr>
        <w:t xml:space="preserve">. </w:t>
      </w:r>
      <w:r>
        <w:rPr>
          <w:szCs w:val="24"/>
        </w:rPr>
        <w:t>Eismo saugos institucija</w:t>
      </w:r>
      <w:r>
        <w:rPr>
          <w:szCs w:val="24"/>
          <w:lang w:eastAsia="lt-LT"/>
        </w:rPr>
        <w:t xml:space="preserve"> priima sprendimus:“.</w:t>
      </w:r>
    </w:p>
    <w:p>
      <w:pPr>
        <w:ind w:firstLine="900"/>
        <w:jc w:val="both"/>
        <w:rPr>
          <w:szCs w:val="24"/>
        </w:rPr>
      </w:pPr>
    </w:p>
    <w:p>
      <w:pPr>
        <w:ind w:firstLine="851"/>
        <w:jc w:val="both"/>
        <w:rPr>
          <w:b/>
          <w:szCs w:val="24"/>
        </w:rPr>
      </w:pPr>
    </w:p>
    <w:p>
      <w:pPr>
        <w:ind w:firstLine="851"/>
        <w:jc w:val="both"/>
        <w:rPr>
          <w:b/>
          <w:szCs w:val="24"/>
        </w:rPr>
      </w:pPr>
      <w:r>
        <w:rPr>
          <w:b/>
          <w:szCs w:val="24"/>
        </w:rPr>
        <w:t>4</w:t>
      </w:r>
      <w:r>
        <w:rPr>
          <w:b/>
          <w:szCs w:val="24"/>
        </w:rPr>
        <w:t xml:space="preserve"> straipsnis. </w:t>
      </w:r>
      <w:r>
        <w:rPr>
          <w:b/>
          <w:szCs w:val="24"/>
        </w:rPr>
        <w:t>16 straipsnio pakeitimas</w:t>
      </w:r>
    </w:p>
    <w:p>
      <w:pPr>
        <w:ind w:firstLine="900"/>
        <w:jc w:val="both"/>
        <w:rPr>
          <w:szCs w:val="24"/>
          <w:lang w:eastAsia="lt-LT"/>
        </w:rPr>
      </w:pPr>
      <w:r>
        <w:rPr>
          <w:szCs w:val="24"/>
          <w:lang w:eastAsia="lt-LT"/>
        </w:rPr>
        <w:t>Pakeisti 16 straipsnio 3 dalį ir ją išdėstyti taip:</w:t>
      </w:r>
    </w:p>
    <w:p>
      <w:pPr>
        <w:ind w:firstLine="900"/>
        <w:jc w:val="both"/>
        <w:rPr>
          <w:szCs w:val="24"/>
          <w:lang w:eastAsia="lt-LT"/>
        </w:rPr>
      </w:pPr>
      <w:r>
        <w:rPr>
          <w:szCs w:val="24"/>
          <w:lang w:eastAsia="lt-LT"/>
        </w:rPr>
        <w:t>„</w:t>
      </w:r>
      <w:r>
        <w:rPr>
          <w:szCs w:val="24"/>
          <w:lang w:eastAsia="lt-LT"/>
        </w:rPr>
        <w:t>3</w:t>
      </w:r>
      <w:r>
        <w:rPr>
          <w:szCs w:val="24"/>
          <w:lang w:eastAsia="lt-LT"/>
        </w:rPr>
        <w:t xml:space="preserve">. Lietuvos Respublikos geležinkelių infrastruktūros registro valdytoja yra Susisiekimo ministerija. Registro tvarkytojo funkcijas atlieka </w:t>
      </w:r>
      <w:r>
        <w:rPr>
          <w:szCs w:val="24"/>
        </w:rPr>
        <w:t>eismo saugos institucija</w:t>
      </w:r>
      <w:r>
        <w:rPr>
          <w:szCs w:val="24"/>
          <w:lang w:eastAsia="lt-LT"/>
        </w:rPr>
        <w:t>.“</w:t>
      </w:r>
    </w:p>
    <w:p>
      <w:pPr>
        <w:ind w:firstLine="900"/>
        <w:jc w:val="both"/>
        <w:rPr>
          <w:szCs w:val="24"/>
          <w:lang w:eastAsia="lt-LT"/>
        </w:rPr>
      </w:pPr>
    </w:p>
    <w:p>
      <w:pPr>
        <w:ind w:firstLine="851"/>
        <w:jc w:val="both"/>
        <w:rPr>
          <w:b/>
          <w:szCs w:val="24"/>
        </w:rPr>
      </w:pPr>
    </w:p>
    <w:p>
      <w:pPr>
        <w:ind w:firstLine="851"/>
        <w:jc w:val="both"/>
        <w:rPr>
          <w:b/>
          <w:szCs w:val="24"/>
        </w:rPr>
      </w:pPr>
      <w:r>
        <w:rPr>
          <w:b/>
          <w:szCs w:val="24"/>
        </w:rPr>
        <w:t>5</w:t>
      </w:r>
      <w:r>
        <w:rPr>
          <w:b/>
          <w:szCs w:val="24"/>
        </w:rPr>
        <w:t xml:space="preserve"> straipsnis. </w:t>
      </w:r>
      <w:r>
        <w:rPr>
          <w:b/>
          <w:szCs w:val="24"/>
        </w:rPr>
        <w:t>22 straipsnio pakeitimas</w:t>
      </w:r>
    </w:p>
    <w:p>
      <w:pPr>
        <w:ind w:firstLine="900"/>
        <w:jc w:val="both"/>
        <w:rPr>
          <w:szCs w:val="24"/>
          <w:lang w:eastAsia="lt-LT"/>
        </w:rPr>
      </w:pPr>
      <w:r>
        <w:rPr>
          <w:szCs w:val="24"/>
          <w:lang w:eastAsia="lt-LT"/>
        </w:rPr>
        <w:t>Pakeisti 22 straipsnio 4 dalį ir ją išdėstyti taip:</w:t>
      </w:r>
    </w:p>
    <w:p>
      <w:pPr>
        <w:ind w:firstLine="900"/>
        <w:jc w:val="both"/>
        <w:rPr>
          <w:szCs w:val="24"/>
          <w:lang w:eastAsia="lt-LT"/>
        </w:rPr>
      </w:pPr>
      <w:r>
        <w:rPr>
          <w:szCs w:val="24"/>
          <w:lang w:eastAsia="lt-LT"/>
        </w:rPr>
        <w:t>„</w:t>
      </w:r>
      <w:r>
        <w:rPr>
          <w:szCs w:val="24"/>
          <w:lang w:eastAsia="lt-LT"/>
        </w:rPr>
        <w:t>4</w:t>
      </w:r>
      <w:r>
        <w:rPr>
          <w:szCs w:val="24"/>
          <w:lang w:eastAsia="lt-LT"/>
        </w:rPr>
        <w:t xml:space="preserve">. Privažiuojamųjų geležinkelio kelių būklei, eksploatacijai, geležinkelių riedmenims ir juos prižiūrinčiam personalui taikomi viešosios geležinkelių infrastruktūros reikalavimai, nustatyti Geležinkelių transporto eismo saugos įstatyme ir susisiekimo ministro tvirtinamose taisyklėse. Kaip jų laikomasi, kontroliuoja </w:t>
      </w:r>
      <w:r>
        <w:rPr>
          <w:szCs w:val="24"/>
        </w:rPr>
        <w:t>eismo saugos institucija</w:t>
      </w:r>
      <w:r>
        <w:rPr>
          <w:szCs w:val="24"/>
          <w:lang w:eastAsia="lt-LT"/>
        </w:rPr>
        <w:t>.“</w:t>
      </w:r>
    </w:p>
    <w:p>
      <w:pPr>
        <w:spacing w:line="276" w:lineRule="auto"/>
        <w:jc w:val="both"/>
        <w:rPr>
          <w:szCs w:val="24"/>
          <w:lang w:eastAsia="lt-LT"/>
        </w:rPr>
      </w:pPr>
    </w:p>
    <w:p>
      <w:pPr>
        <w:tabs>
          <w:tab w:val="left" w:pos="993"/>
        </w:tabs>
        <w:spacing w:line="276" w:lineRule="auto"/>
        <w:ind w:firstLine="851"/>
        <w:rPr>
          <w:b/>
          <w:szCs w:val="24"/>
        </w:rPr>
      </w:pPr>
    </w:p>
    <w:p>
      <w:pPr>
        <w:tabs>
          <w:tab w:val="left" w:pos="993"/>
        </w:tabs>
        <w:spacing w:line="276" w:lineRule="auto"/>
        <w:ind w:firstLine="851"/>
        <w:rPr>
          <w:b/>
          <w:szCs w:val="24"/>
        </w:rPr>
      </w:pPr>
    </w:p>
    <w:p>
      <w:pPr>
        <w:tabs>
          <w:tab w:val="left" w:pos="993"/>
        </w:tabs>
        <w:spacing w:line="276" w:lineRule="auto"/>
        <w:ind w:firstLine="851"/>
        <w:rPr>
          <w:szCs w:val="24"/>
        </w:rPr>
      </w:pPr>
      <w:r>
        <w:rPr>
          <w:b/>
          <w:szCs w:val="24"/>
        </w:rPr>
        <w:t>6</w:t>
      </w:r>
      <w:r>
        <w:rPr>
          <w:b/>
          <w:szCs w:val="24"/>
        </w:rPr>
        <w:tab/>
        <w:t xml:space="preserve"> straipsnis.</w:t>
      </w:r>
      <w:r>
        <w:rPr>
          <w:szCs w:val="24"/>
        </w:rPr>
        <w:t xml:space="preserve"> </w:t>
      </w:r>
      <w:r>
        <w:rPr>
          <w:b/>
          <w:szCs w:val="24"/>
        </w:rPr>
        <w:t>Įstatymo įsigaliojimas</w:t>
      </w:r>
    </w:p>
    <w:p>
      <w:pPr>
        <w:spacing w:line="276" w:lineRule="auto"/>
        <w:ind w:firstLine="851"/>
        <w:rPr>
          <w:szCs w:val="24"/>
        </w:rPr>
      </w:pPr>
      <w:r>
        <w:rPr>
          <w:szCs w:val="24"/>
        </w:rPr>
        <w:t>Šis įstatymas įsigalioja 2017 m. rugsėjo 1 d.</w:t>
      </w:r>
    </w:p>
    <w:p>
      <w:pPr>
        <w:spacing w:line="276" w:lineRule="auto"/>
        <w:rPr>
          <w:szCs w:val="24"/>
        </w:rPr>
      </w:pPr>
    </w:p>
    <w:p>
      <w:pPr>
        <w:spacing w:line="276" w:lineRule="auto"/>
        <w:rPr>
          <w:szCs w:val="24"/>
        </w:rPr>
      </w:pPr>
    </w:p>
    <w:p>
      <w:pPr>
        <w:spacing w:line="276" w:lineRule="auto"/>
        <w:ind w:firstLine="851"/>
        <w:rPr>
          <w:i/>
          <w:szCs w:val="24"/>
        </w:rPr>
      </w:pPr>
      <w:r>
        <w:rPr>
          <w:i/>
          <w:szCs w:val="24"/>
        </w:rPr>
        <w:t>Skelbiu šį Lietuvos Respublikos Seimo priimtą įstatymą.</w:t>
      </w:r>
    </w:p>
    <w:p>
      <w:pPr>
        <w:spacing w:line="276" w:lineRule="auto"/>
        <w:rPr>
          <w:i/>
          <w:szCs w:val="24"/>
        </w:rPr>
      </w:pPr>
    </w:p>
    <w:p>
      <w:pPr>
        <w:spacing w:line="276" w:lineRule="auto"/>
        <w:rPr>
          <w:i/>
          <w:szCs w:val="24"/>
        </w:rPr>
      </w:pPr>
    </w:p>
    <w:p>
      <w:pPr>
        <w:spacing w:line="276" w:lineRule="auto"/>
        <w:ind w:left="851"/>
        <w:rPr>
          <w:szCs w:val="24"/>
        </w:rPr>
      </w:pPr>
      <w:r>
        <w:rPr>
          <w:szCs w:val="24"/>
        </w:rPr>
        <w:t>Respublikos Prezidentas</w:t>
      </w:r>
      <w:r>
        <w:rPr>
          <w:caps/>
          <w:szCs w:val="24"/>
        </w:rPr>
        <w:tab/>
        <w:tab/>
        <w:tab/>
        <w:tab/>
        <w:tab/>
      </w:r>
    </w:p>
    <w:p>
      <w:pPr>
        <w:rPr>
          <w:sz w:val="18"/>
          <w:szCs w:val="18"/>
        </w:rPr>
      </w:pPr>
    </w:p>
    <w:p>
      <w:pPr>
        <w:spacing w:line="276" w:lineRule="auto"/>
        <w:rPr>
          <w:szCs w:val="24"/>
        </w:rPr>
      </w:pPr>
    </w:p>
    <w:p>
      <w:pPr>
        <w:spacing w:line="276" w:lineRule="auto"/>
        <w:rPr>
          <w:szCs w:val="24"/>
        </w:rPr>
      </w:pPr>
    </w:p>
    <w:p>
      <w:pPr>
        <w:spacing w:line="276" w:lineRule="auto"/>
        <w:rPr>
          <w:szCs w:val="24"/>
        </w:rPr>
      </w:pPr>
    </w:p>
    <w:p>
      <w:pPr>
        <w:spacing w:line="276" w:lineRule="auto"/>
        <w:jc w:val="both"/>
        <w:rPr>
          <w:szCs w:val="24"/>
        </w:rPr>
      </w:pPr>
      <w:r>
        <w:rPr>
          <w:szCs w:val="24"/>
        </w:rPr>
        <w:t>Teikia:</w:t>
      </w:r>
    </w:p>
    <w:p>
      <w:pPr>
        <w:rPr>
          <w:sz w:val="18"/>
          <w:szCs w:val="18"/>
        </w:rPr>
      </w:pPr>
    </w:p>
    <w:p>
      <w:pPr>
        <w:spacing w:line="276" w:lineRule="auto"/>
        <w:jc w:val="both"/>
        <w:rPr>
          <w:szCs w:val="24"/>
        </w:rPr>
      </w:pPr>
    </w:p>
    <w:p>
      <w:pPr>
        <w:rPr>
          <w:sz w:val="18"/>
          <w:szCs w:val="18"/>
        </w:rPr>
      </w:pPr>
    </w:p>
    <w:p>
      <w:pPr>
        <w:spacing w:line="276" w:lineRule="auto"/>
        <w:jc w:val="both"/>
        <w:rPr>
          <w:szCs w:val="24"/>
        </w:rPr>
      </w:pPr>
      <w:r>
        <w:rPr>
          <w:szCs w:val="24"/>
        </w:rPr>
        <w:t>Seimo narys</w:t>
        <w:tab/>
        <w:tab/>
        <w:tab/>
        <w:tab/>
        <w:tab/>
        <w:t>Virginijus Sinkevičius</w:t>
      </w:r>
    </w:p>
    <w:p>
      <w:pPr>
        <w:rPr>
          <w:sz w:val="18"/>
          <w:szCs w:val="18"/>
        </w:rPr>
      </w:pPr>
    </w:p>
    <w:p>
      <w:pPr>
        <w:spacing w:line="276" w:lineRule="auto"/>
        <w:ind w:firstLine="2160"/>
        <w:jc w:val="both"/>
        <w:rPr>
          <w:i/>
          <w:szCs w:val="24"/>
        </w:rPr>
      </w:pPr>
    </w:p>
    <w:p>
      <w:pPr>
        <w:rPr>
          <w:sz w:val="18"/>
          <w:szCs w:val="18"/>
        </w:rPr>
      </w:pPr>
    </w:p>
    <w:p>
      <w:pPr>
        <w:spacing w:line="276" w:lineRule="auto"/>
        <w:rPr>
          <w:szCs w:val="24"/>
        </w:rPr>
      </w:pPr>
    </w:p>
    <w:sectPr>
      <w:headerReference w:type="even" r:id="rId10"/>
      <w:headerReference w:type="default" r:id="rId11"/>
      <w:footerReference w:type="even" r:id="rId12"/>
      <w:footerReference w:type="default" r:id="rId13"/>
      <w:headerReference w:type="first" r:id="rId14"/>
      <w:footerReference w:type="first" r:id="rId15"/>
      <w:pgSz w:w="11906" w:h="16838"/>
      <w:pgMar w:top="1440" w:right="746" w:bottom="1134" w:left="1701" w:header="567" w:footer="567" w:gutter="0"/>
      <w:cols w:space="1296"/>
      <w:titlePg/>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rPr>
          <w:sz w:val="22"/>
          <w:szCs w:val="22"/>
        </w:rPr>
      </w:pPr>
      <w:r>
        <w:rPr>
          <w:sz w:val="22"/>
          <w:szCs w:val="22"/>
        </w:rPr>
        <w:separator/>
      </w:r>
    </w:p>
  </w:endnote>
  <w:endnote w:type="continuationSeparator" w:id="0">
    <w:p>
      <w:pPr>
        <w:rPr>
          <w:sz w:val="22"/>
          <w:szCs w:val="22"/>
        </w:rPr>
      </w:pPr>
      <w:r>
        <w:rPr>
          <w:sz w:val="22"/>
          <w:szCs w:val="22"/>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rPr>
        <w:sz w:val="22"/>
        <w:szCs w:val="22"/>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rPr>
        <w:sz w:val="22"/>
        <w:szCs w:val="22"/>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rPr>
        <w:sz w:val="22"/>
        <w:szCs w:val="22"/>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rPr>
          <w:sz w:val="22"/>
          <w:szCs w:val="22"/>
        </w:rPr>
      </w:pPr>
      <w:r>
        <w:rPr>
          <w:sz w:val="22"/>
          <w:szCs w:val="22"/>
        </w:rPr>
        <w:separator/>
      </w:r>
    </w:p>
  </w:footnote>
  <w:footnote w:type="continuationSeparator" w:id="0">
    <w:p>
      <w:pPr>
        <w:rPr>
          <w:sz w:val="22"/>
          <w:szCs w:val="22"/>
        </w:rPr>
      </w:pPr>
      <w:r>
        <w:rPr>
          <w:sz w:val="22"/>
          <w:szCs w:val="22"/>
        </w:rP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rPr>
        <w:sz w:val="22"/>
        <w:szCs w:val="22"/>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jc w:val="center"/>
      <w:rPr>
        <w:sz w:val="22"/>
        <w:szCs w:val="22"/>
      </w:rPr>
    </w:pPr>
    <w:r>
      <w:rPr>
        <w:sz w:val="22"/>
        <w:szCs w:val="22"/>
      </w:rPr>
      <w:fldChar w:fldCharType="begin"/>
    </w:r>
    <w:r>
      <w:rPr>
        <w:sz w:val="22"/>
        <w:szCs w:val="22"/>
      </w:rPr>
      <w:instrText>PAGE   \* MERGEFORMAT</w:instrText>
    </w:r>
    <w:r>
      <w:rPr>
        <w:sz w:val="22"/>
        <w:szCs w:val="22"/>
      </w:rPr>
      <w:fldChar w:fldCharType="separate"/>
    </w:r>
    <w:r>
      <w:rPr>
        <w:sz w:val="22"/>
        <w:szCs w:val="22"/>
      </w:rPr>
      <w:t>5</w:t>
    </w:r>
    <w:r>
      <w:rPr>
        <w:sz w:val="22"/>
        <w:szCs w:val="22"/>
      </w:rPr>
      <w:fldChar w:fldCharType="end"/>
    </w:r>
  </w:p>
  <w:p>
    <w:pPr>
      <w:tabs>
        <w:tab w:val="center" w:pos="4819"/>
        <w:tab w:val="right" w:pos="9638"/>
      </w:tabs>
      <w:rPr>
        <w:sz w:val="22"/>
        <w:szCs w:val="22"/>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rPr>
        <w:sz w:val="22"/>
        <w:szCs w:val="22"/>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val="bestFit" w:percent="152"/>
  <w:defaultTabStop w:val="1296"/>
  <w:hyphenationZone w:val="396"/>
  <w:doNotHyphenateCap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7F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divs>
    <w:div w:id="49425922">
      <w:bodyDiv w:val="1"/>
      <w:marLeft w:val="0"/>
      <w:marRight w:val="0"/>
      <w:marTop w:val="0"/>
      <w:marBottom w:val="0"/>
      <w:divBdr>
        <w:top w:val="none" w:sz="0" w:space="0" w:color="auto"/>
        <w:left w:val="none" w:sz="0" w:space="0" w:color="auto"/>
        <w:bottom w:val="none" w:sz="0" w:space="0" w:color="auto"/>
        <w:right w:val="none" w:sz="0" w:space="0" w:color="auto"/>
      </w:divBdr>
      <w:divsChild>
        <w:div w:id="1258170391">
          <w:marLeft w:val="0"/>
          <w:marRight w:val="0"/>
          <w:marTop w:val="0"/>
          <w:marBottom w:val="0"/>
          <w:divBdr>
            <w:top w:val="none" w:sz="0" w:space="0" w:color="auto"/>
            <w:left w:val="none" w:sz="0" w:space="0" w:color="auto"/>
            <w:bottom w:val="none" w:sz="0" w:space="0" w:color="auto"/>
            <w:right w:val="none" w:sz="0" w:space="0" w:color="auto"/>
          </w:divBdr>
          <w:divsChild>
            <w:div w:id="1350180705">
              <w:marLeft w:val="0"/>
              <w:marRight w:val="0"/>
              <w:marTop w:val="0"/>
              <w:marBottom w:val="0"/>
              <w:divBdr>
                <w:top w:val="none" w:sz="0" w:space="0" w:color="auto"/>
                <w:left w:val="none" w:sz="0" w:space="0" w:color="auto"/>
                <w:bottom w:val="none" w:sz="0" w:space="0" w:color="auto"/>
                <w:right w:val="none" w:sz="0" w:space="0" w:color="auto"/>
              </w:divBdr>
              <w:divsChild>
                <w:div w:id="1422600290">
                  <w:marLeft w:val="0"/>
                  <w:marRight w:val="0"/>
                  <w:marTop w:val="0"/>
                  <w:marBottom w:val="0"/>
                  <w:divBdr>
                    <w:top w:val="none" w:sz="0" w:space="0" w:color="auto"/>
                    <w:left w:val="none" w:sz="0" w:space="0" w:color="auto"/>
                    <w:bottom w:val="none" w:sz="0" w:space="0" w:color="auto"/>
                    <w:right w:val="none" w:sz="0" w:space="0" w:color="auto"/>
                  </w:divBdr>
                  <w:divsChild>
                    <w:div w:id="1867134745">
                      <w:marLeft w:val="0"/>
                      <w:marRight w:val="0"/>
                      <w:marTop w:val="0"/>
                      <w:marBottom w:val="0"/>
                      <w:divBdr>
                        <w:top w:val="none" w:sz="0" w:space="0" w:color="auto"/>
                        <w:left w:val="none" w:sz="0" w:space="0" w:color="auto"/>
                        <w:bottom w:val="none" w:sz="0" w:space="0" w:color="auto"/>
                        <w:right w:val="none" w:sz="0" w:space="0" w:color="auto"/>
                      </w:divBdr>
                      <w:divsChild>
                        <w:div w:id="1341737011">
                          <w:marLeft w:val="0"/>
                          <w:marRight w:val="0"/>
                          <w:marTop w:val="0"/>
                          <w:marBottom w:val="0"/>
                          <w:divBdr>
                            <w:top w:val="none" w:sz="0" w:space="0" w:color="auto"/>
                            <w:left w:val="none" w:sz="0" w:space="0" w:color="auto"/>
                            <w:bottom w:val="none" w:sz="0" w:space="0" w:color="auto"/>
                            <w:right w:val="none" w:sz="0" w:space="0" w:color="auto"/>
                          </w:divBdr>
                          <w:divsChild>
                            <w:div w:id="146360947">
                              <w:marLeft w:val="0"/>
                              <w:marRight w:val="0"/>
                              <w:marTop w:val="0"/>
                              <w:marBottom w:val="0"/>
                              <w:divBdr>
                                <w:top w:val="none" w:sz="0" w:space="0" w:color="auto"/>
                                <w:left w:val="none" w:sz="0" w:space="0" w:color="auto"/>
                                <w:bottom w:val="none" w:sz="0" w:space="0" w:color="auto"/>
                                <w:right w:val="none" w:sz="0" w:space="0" w:color="auto"/>
                              </w:divBdr>
                            </w:div>
                            <w:div w:id="1259215249">
                              <w:marLeft w:val="0"/>
                              <w:marRight w:val="0"/>
                              <w:marTop w:val="0"/>
                              <w:marBottom w:val="0"/>
                              <w:divBdr>
                                <w:top w:val="none" w:sz="0" w:space="0" w:color="auto"/>
                                <w:left w:val="none" w:sz="0" w:space="0" w:color="auto"/>
                                <w:bottom w:val="none" w:sz="0" w:space="0" w:color="auto"/>
                                <w:right w:val="none" w:sz="0" w:space="0" w:color="auto"/>
                              </w:divBdr>
                            </w:div>
                            <w:div w:id="648676030">
                              <w:marLeft w:val="0"/>
                              <w:marRight w:val="0"/>
                              <w:marTop w:val="0"/>
                              <w:marBottom w:val="0"/>
                              <w:divBdr>
                                <w:top w:val="none" w:sz="0" w:space="0" w:color="auto"/>
                                <w:left w:val="none" w:sz="0" w:space="0" w:color="auto"/>
                                <w:bottom w:val="none" w:sz="0" w:space="0" w:color="auto"/>
                                <w:right w:val="none" w:sz="0" w:space="0" w:color="auto"/>
                              </w:divBdr>
                              <w:divsChild>
                                <w:div w:id="1639143482">
                                  <w:marLeft w:val="0"/>
                                  <w:marRight w:val="0"/>
                                  <w:marTop w:val="0"/>
                                  <w:marBottom w:val="0"/>
                                  <w:divBdr>
                                    <w:top w:val="none" w:sz="0" w:space="0" w:color="auto"/>
                                    <w:left w:val="none" w:sz="0" w:space="0" w:color="auto"/>
                                    <w:bottom w:val="none" w:sz="0" w:space="0" w:color="auto"/>
                                    <w:right w:val="none" w:sz="0" w:space="0" w:color="auto"/>
                                  </w:divBdr>
                                </w:div>
                                <w:div w:id="1452895266">
                                  <w:marLeft w:val="0"/>
                                  <w:marRight w:val="0"/>
                                  <w:marTop w:val="0"/>
                                  <w:marBottom w:val="0"/>
                                  <w:divBdr>
                                    <w:top w:val="none" w:sz="0" w:space="0" w:color="auto"/>
                                    <w:left w:val="none" w:sz="0" w:space="0" w:color="auto"/>
                                    <w:bottom w:val="none" w:sz="0" w:space="0" w:color="auto"/>
                                    <w:right w:val="none" w:sz="0" w:space="0" w:color="auto"/>
                                  </w:divBdr>
                                </w:div>
                                <w:div w:id="263924513">
                                  <w:marLeft w:val="0"/>
                                  <w:marRight w:val="0"/>
                                  <w:marTop w:val="0"/>
                                  <w:marBottom w:val="0"/>
                                  <w:divBdr>
                                    <w:top w:val="none" w:sz="0" w:space="0" w:color="auto"/>
                                    <w:left w:val="none" w:sz="0" w:space="0" w:color="auto"/>
                                    <w:bottom w:val="none" w:sz="0" w:space="0" w:color="auto"/>
                                    <w:right w:val="none" w:sz="0" w:space="0" w:color="auto"/>
                                  </w:divBdr>
                                </w:div>
                              </w:divsChild>
                            </w:div>
                            <w:div w:id="840511156">
                              <w:marLeft w:val="0"/>
                              <w:marRight w:val="0"/>
                              <w:marTop w:val="0"/>
                              <w:marBottom w:val="0"/>
                              <w:divBdr>
                                <w:top w:val="none" w:sz="0" w:space="0" w:color="auto"/>
                                <w:left w:val="none" w:sz="0" w:space="0" w:color="auto"/>
                                <w:bottom w:val="none" w:sz="0" w:space="0" w:color="auto"/>
                                <w:right w:val="none" w:sz="0" w:space="0" w:color="auto"/>
                              </w:divBdr>
                            </w:div>
                            <w:div w:id="1865632464">
                              <w:marLeft w:val="0"/>
                              <w:marRight w:val="0"/>
                              <w:marTop w:val="0"/>
                              <w:marBottom w:val="0"/>
                              <w:divBdr>
                                <w:top w:val="none" w:sz="0" w:space="0" w:color="auto"/>
                                <w:left w:val="none" w:sz="0" w:space="0" w:color="auto"/>
                                <w:bottom w:val="none" w:sz="0" w:space="0" w:color="auto"/>
                                <w:right w:val="none" w:sz="0" w:space="0" w:color="auto"/>
                              </w:divBdr>
                              <w:divsChild>
                                <w:div w:id="1346059714">
                                  <w:marLeft w:val="0"/>
                                  <w:marRight w:val="0"/>
                                  <w:marTop w:val="0"/>
                                  <w:marBottom w:val="0"/>
                                  <w:divBdr>
                                    <w:top w:val="none" w:sz="0" w:space="0" w:color="auto"/>
                                    <w:left w:val="none" w:sz="0" w:space="0" w:color="auto"/>
                                    <w:bottom w:val="none" w:sz="0" w:space="0" w:color="auto"/>
                                    <w:right w:val="none" w:sz="0" w:space="0" w:color="auto"/>
                                  </w:divBdr>
                                </w:div>
                                <w:div w:id="1626109495">
                                  <w:marLeft w:val="0"/>
                                  <w:marRight w:val="0"/>
                                  <w:marTop w:val="0"/>
                                  <w:marBottom w:val="0"/>
                                  <w:divBdr>
                                    <w:top w:val="none" w:sz="0" w:space="0" w:color="auto"/>
                                    <w:left w:val="none" w:sz="0" w:space="0" w:color="auto"/>
                                    <w:bottom w:val="none" w:sz="0" w:space="0" w:color="auto"/>
                                    <w:right w:val="none" w:sz="0" w:space="0" w:color="auto"/>
                                  </w:divBdr>
                                </w:div>
                                <w:div w:id="1190486407">
                                  <w:marLeft w:val="0"/>
                                  <w:marRight w:val="0"/>
                                  <w:marTop w:val="0"/>
                                  <w:marBottom w:val="0"/>
                                  <w:divBdr>
                                    <w:top w:val="none" w:sz="0" w:space="0" w:color="auto"/>
                                    <w:left w:val="none" w:sz="0" w:space="0" w:color="auto"/>
                                    <w:bottom w:val="none" w:sz="0" w:space="0" w:color="auto"/>
                                    <w:right w:val="none" w:sz="0" w:space="0" w:color="auto"/>
                                  </w:divBdr>
                                </w:div>
                                <w:div w:id="303780249">
                                  <w:marLeft w:val="0"/>
                                  <w:marRight w:val="0"/>
                                  <w:marTop w:val="0"/>
                                  <w:marBottom w:val="0"/>
                                  <w:divBdr>
                                    <w:top w:val="none" w:sz="0" w:space="0" w:color="auto"/>
                                    <w:left w:val="none" w:sz="0" w:space="0" w:color="auto"/>
                                    <w:bottom w:val="none" w:sz="0" w:space="0" w:color="auto"/>
                                    <w:right w:val="none" w:sz="0" w:space="0" w:color="auto"/>
                                  </w:divBdr>
                                </w:div>
                                <w:div w:id="1775131501">
                                  <w:marLeft w:val="0"/>
                                  <w:marRight w:val="0"/>
                                  <w:marTop w:val="0"/>
                                  <w:marBottom w:val="0"/>
                                  <w:divBdr>
                                    <w:top w:val="none" w:sz="0" w:space="0" w:color="auto"/>
                                    <w:left w:val="none" w:sz="0" w:space="0" w:color="auto"/>
                                    <w:bottom w:val="none" w:sz="0" w:space="0" w:color="auto"/>
                                    <w:right w:val="none" w:sz="0" w:space="0" w:color="auto"/>
                                  </w:divBdr>
                                </w:div>
                                <w:div w:id="2030832088">
                                  <w:marLeft w:val="0"/>
                                  <w:marRight w:val="0"/>
                                  <w:marTop w:val="0"/>
                                  <w:marBottom w:val="0"/>
                                  <w:divBdr>
                                    <w:top w:val="none" w:sz="0" w:space="0" w:color="auto"/>
                                    <w:left w:val="none" w:sz="0" w:space="0" w:color="auto"/>
                                    <w:bottom w:val="none" w:sz="0" w:space="0" w:color="auto"/>
                                    <w:right w:val="none" w:sz="0" w:space="0" w:color="auto"/>
                                  </w:divBdr>
                                </w:div>
                                <w:div w:id="968977692">
                                  <w:marLeft w:val="0"/>
                                  <w:marRight w:val="0"/>
                                  <w:marTop w:val="0"/>
                                  <w:marBottom w:val="0"/>
                                  <w:divBdr>
                                    <w:top w:val="none" w:sz="0" w:space="0" w:color="auto"/>
                                    <w:left w:val="none" w:sz="0" w:space="0" w:color="auto"/>
                                    <w:bottom w:val="none" w:sz="0" w:space="0" w:color="auto"/>
                                    <w:right w:val="none" w:sz="0" w:space="0" w:color="auto"/>
                                  </w:divBdr>
                                </w:div>
                                <w:div w:id="1795442023">
                                  <w:marLeft w:val="0"/>
                                  <w:marRight w:val="0"/>
                                  <w:marTop w:val="0"/>
                                  <w:marBottom w:val="0"/>
                                  <w:divBdr>
                                    <w:top w:val="none" w:sz="0" w:space="0" w:color="auto"/>
                                    <w:left w:val="none" w:sz="0" w:space="0" w:color="auto"/>
                                    <w:bottom w:val="none" w:sz="0" w:space="0" w:color="auto"/>
                                    <w:right w:val="none" w:sz="0" w:space="0" w:color="auto"/>
                                  </w:divBdr>
                                </w:div>
                                <w:div w:id="668018941">
                                  <w:marLeft w:val="0"/>
                                  <w:marRight w:val="0"/>
                                  <w:marTop w:val="0"/>
                                  <w:marBottom w:val="0"/>
                                  <w:divBdr>
                                    <w:top w:val="none" w:sz="0" w:space="0" w:color="auto"/>
                                    <w:left w:val="none" w:sz="0" w:space="0" w:color="auto"/>
                                    <w:bottom w:val="none" w:sz="0" w:space="0" w:color="auto"/>
                                    <w:right w:val="none" w:sz="0" w:space="0" w:color="auto"/>
                                  </w:divBdr>
                                </w:div>
                                <w:div w:id="41296055">
                                  <w:marLeft w:val="0"/>
                                  <w:marRight w:val="0"/>
                                  <w:marTop w:val="0"/>
                                  <w:marBottom w:val="0"/>
                                  <w:divBdr>
                                    <w:top w:val="none" w:sz="0" w:space="0" w:color="auto"/>
                                    <w:left w:val="none" w:sz="0" w:space="0" w:color="auto"/>
                                    <w:bottom w:val="none" w:sz="0" w:space="0" w:color="auto"/>
                                    <w:right w:val="none" w:sz="0" w:space="0" w:color="auto"/>
                                  </w:divBdr>
                                </w:div>
                                <w:div w:id="208036720">
                                  <w:marLeft w:val="0"/>
                                  <w:marRight w:val="0"/>
                                  <w:marTop w:val="0"/>
                                  <w:marBottom w:val="0"/>
                                  <w:divBdr>
                                    <w:top w:val="none" w:sz="0" w:space="0" w:color="auto"/>
                                    <w:left w:val="none" w:sz="0" w:space="0" w:color="auto"/>
                                    <w:bottom w:val="none" w:sz="0" w:space="0" w:color="auto"/>
                                    <w:right w:val="none" w:sz="0" w:space="0" w:color="auto"/>
                                  </w:divBdr>
                                </w:div>
                                <w:div w:id="1603760000">
                                  <w:marLeft w:val="0"/>
                                  <w:marRight w:val="0"/>
                                  <w:marTop w:val="0"/>
                                  <w:marBottom w:val="0"/>
                                  <w:divBdr>
                                    <w:top w:val="none" w:sz="0" w:space="0" w:color="auto"/>
                                    <w:left w:val="none" w:sz="0" w:space="0" w:color="auto"/>
                                    <w:bottom w:val="none" w:sz="0" w:space="0" w:color="auto"/>
                                    <w:right w:val="none" w:sz="0" w:space="0" w:color="auto"/>
                                  </w:divBdr>
                                </w:div>
                                <w:div w:id="1035887351">
                                  <w:marLeft w:val="0"/>
                                  <w:marRight w:val="0"/>
                                  <w:marTop w:val="0"/>
                                  <w:marBottom w:val="0"/>
                                  <w:divBdr>
                                    <w:top w:val="none" w:sz="0" w:space="0" w:color="auto"/>
                                    <w:left w:val="none" w:sz="0" w:space="0" w:color="auto"/>
                                    <w:bottom w:val="none" w:sz="0" w:space="0" w:color="auto"/>
                                    <w:right w:val="none" w:sz="0" w:space="0" w:color="auto"/>
                                  </w:divBdr>
                                </w:div>
                                <w:div w:id="953243263">
                                  <w:marLeft w:val="0"/>
                                  <w:marRight w:val="0"/>
                                  <w:marTop w:val="0"/>
                                  <w:marBottom w:val="0"/>
                                  <w:divBdr>
                                    <w:top w:val="none" w:sz="0" w:space="0" w:color="auto"/>
                                    <w:left w:val="none" w:sz="0" w:space="0" w:color="auto"/>
                                    <w:bottom w:val="none" w:sz="0" w:space="0" w:color="auto"/>
                                    <w:right w:val="none" w:sz="0" w:space="0" w:color="auto"/>
                                  </w:divBdr>
                                </w:div>
                                <w:div w:id="1576207560">
                                  <w:marLeft w:val="0"/>
                                  <w:marRight w:val="0"/>
                                  <w:marTop w:val="0"/>
                                  <w:marBottom w:val="0"/>
                                  <w:divBdr>
                                    <w:top w:val="none" w:sz="0" w:space="0" w:color="auto"/>
                                    <w:left w:val="none" w:sz="0" w:space="0" w:color="auto"/>
                                    <w:bottom w:val="none" w:sz="0" w:space="0" w:color="auto"/>
                                    <w:right w:val="none" w:sz="0" w:space="0" w:color="auto"/>
                                  </w:divBdr>
                                </w:div>
                                <w:div w:id="1882941264">
                                  <w:marLeft w:val="0"/>
                                  <w:marRight w:val="0"/>
                                  <w:marTop w:val="0"/>
                                  <w:marBottom w:val="0"/>
                                  <w:divBdr>
                                    <w:top w:val="none" w:sz="0" w:space="0" w:color="auto"/>
                                    <w:left w:val="none" w:sz="0" w:space="0" w:color="auto"/>
                                    <w:bottom w:val="none" w:sz="0" w:space="0" w:color="auto"/>
                                    <w:right w:val="none" w:sz="0" w:space="0" w:color="auto"/>
                                  </w:divBdr>
                                </w:div>
                                <w:div w:id="2118013863">
                                  <w:marLeft w:val="0"/>
                                  <w:marRight w:val="0"/>
                                  <w:marTop w:val="0"/>
                                  <w:marBottom w:val="0"/>
                                  <w:divBdr>
                                    <w:top w:val="none" w:sz="0" w:space="0" w:color="auto"/>
                                    <w:left w:val="none" w:sz="0" w:space="0" w:color="auto"/>
                                    <w:bottom w:val="none" w:sz="0" w:space="0" w:color="auto"/>
                                    <w:right w:val="none" w:sz="0" w:space="0" w:color="auto"/>
                                  </w:divBdr>
                                </w:div>
                                <w:div w:id="1140079579">
                                  <w:marLeft w:val="0"/>
                                  <w:marRight w:val="0"/>
                                  <w:marTop w:val="0"/>
                                  <w:marBottom w:val="0"/>
                                  <w:divBdr>
                                    <w:top w:val="none" w:sz="0" w:space="0" w:color="auto"/>
                                    <w:left w:val="none" w:sz="0" w:space="0" w:color="auto"/>
                                    <w:bottom w:val="none" w:sz="0" w:space="0" w:color="auto"/>
                                    <w:right w:val="none" w:sz="0" w:space="0" w:color="auto"/>
                                  </w:divBdr>
                                </w:div>
                                <w:div w:id="1701199516">
                                  <w:marLeft w:val="0"/>
                                  <w:marRight w:val="0"/>
                                  <w:marTop w:val="0"/>
                                  <w:marBottom w:val="0"/>
                                  <w:divBdr>
                                    <w:top w:val="none" w:sz="0" w:space="0" w:color="auto"/>
                                    <w:left w:val="none" w:sz="0" w:space="0" w:color="auto"/>
                                    <w:bottom w:val="none" w:sz="0" w:space="0" w:color="auto"/>
                                    <w:right w:val="none" w:sz="0" w:space="0" w:color="auto"/>
                                  </w:divBdr>
                                </w:div>
                                <w:div w:id="1951933522">
                                  <w:marLeft w:val="0"/>
                                  <w:marRight w:val="0"/>
                                  <w:marTop w:val="0"/>
                                  <w:marBottom w:val="0"/>
                                  <w:divBdr>
                                    <w:top w:val="none" w:sz="0" w:space="0" w:color="auto"/>
                                    <w:left w:val="none" w:sz="0" w:space="0" w:color="auto"/>
                                    <w:bottom w:val="none" w:sz="0" w:space="0" w:color="auto"/>
                                    <w:right w:val="none" w:sz="0" w:space="0" w:color="auto"/>
                                  </w:divBdr>
                                </w:div>
                              </w:divsChild>
                            </w:div>
                            <w:div w:id="899707383">
                              <w:marLeft w:val="0"/>
                              <w:marRight w:val="0"/>
                              <w:marTop w:val="0"/>
                              <w:marBottom w:val="0"/>
                              <w:divBdr>
                                <w:top w:val="none" w:sz="0" w:space="0" w:color="auto"/>
                                <w:left w:val="none" w:sz="0" w:space="0" w:color="auto"/>
                                <w:bottom w:val="none" w:sz="0" w:space="0" w:color="auto"/>
                                <w:right w:val="none" w:sz="0" w:space="0" w:color="auto"/>
                              </w:divBdr>
                            </w:div>
                            <w:div w:id="780992755">
                              <w:marLeft w:val="0"/>
                              <w:marRight w:val="0"/>
                              <w:marTop w:val="0"/>
                              <w:marBottom w:val="0"/>
                              <w:divBdr>
                                <w:top w:val="none" w:sz="0" w:space="0" w:color="auto"/>
                                <w:left w:val="none" w:sz="0" w:space="0" w:color="auto"/>
                                <w:bottom w:val="none" w:sz="0" w:space="0" w:color="auto"/>
                                <w:right w:val="none" w:sz="0" w:space="0" w:color="auto"/>
                              </w:divBdr>
                            </w:div>
                            <w:div w:id="1196426652">
                              <w:marLeft w:val="0"/>
                              <w:marRight w:val="0"/>
                              <w:marTop w:val="0"/>
                              <w:marBottom w:val="0"/>
                              <w:divBdr>
                                <w:top w:val="none" w:sz="0" w:space="0" w:color="auto"/>
                                <w:left w:val="none" w:sz="0" w:space="0" w:color="auto"/>
                                <w:bottom w:val="none" w:sz="0" w:space="0" w:color="auto"/>
                                <w:right w:val="none" w:sz="0" w:space="0" w:color="auto"/>
                              </w:divBdr>
                              <w:divsChild>
                                <w:div w:id="71509678">
                                  <w:marLeft w:val="0"/>
                                  <w:marRight w:val="0"/>
                                  <w:marTop w:val="0"/>
                                  <w:marBottom w:val="0"/>
                                  <w:divBdr>
                                    <w:top w:val="none" w:sz="0" w:space="0" w:color="auto"/>
                                    <w:left w:val="none" w:sz="0" w:space="0" w:color="auto"/>
                                    <w:bottom w:val="none" w:sz="0" w:space="0" w:color="auto"/>
                                    <w:right w:val="none" w:sz="0" w:space="0" w:color="auto"/>
                                  </w:divBdr>
                                </w:div>
                                <w:div w:id="2140492371">
                                  <w:marLeft w:val="0"/>
                                  <w:marRight w:val="0"/>
                                  <w:marTop w:val="0"/>
                                  <w:marBottom w:val="0"/>
                                  <w:divBdr>
                                    <w:top w:val="none" w:sz="0" w:space="0" w:color="auto"/>
                                    <w:left w:val="none" w:sz="0" w:space="0" w:color="auto"/>
                                    <w:bottom w:val="none" w:sz="0" w:space="0" w:color="auto"/>
                                    <w:right w:val="none" w:sz="0" w:space="0" w:color="auto"/>
                                  </w:divBdr>
                                </w:div>
                                <w:div w:id="1679574305">
                                  <w:marLeft w:val="0"/>
                                  <w:marRight w:val="0"/>
                                  <w:marTop w:val="0"/>
                                  <w:marBottom w:val="0"/>
                                  <w:divBdr>
                                    <w:top w:val="none" w:sz="0" w:space="0" w:color="auto"/>
                                    <w:left w:val="none" w:sz="0" w:space="0" w:color="auto"/>
                                    <w:bottom w:val="none" w:sz="0" w:space="0" w:color="auto"/>
                                    <w:right w:val="none" w:sz="0" w:space="0" w:color="auto"/>
                                  </w:divBdr>
                                </w:div>
                                <w:div w:id="406996565">
                                  <w:marLeft w:val="0"/>
                                  <w:marRight w:val="0"/>
                                  <w:marTop w:val="0"/>
                                  <w:marBottom w:val="0"/>
                                  <w:divBdr>
                                    <w:top w:val="none" w:sz="0" w:space="0" w:color="auto"/>
                                    <w:left w:val="none" w:sz="0" w:space="0" w:color="auto"/>
                                    <w:bottom w:val="none" w:sz="0" w:space="0" w:color="auto"/>
                                    <w:right w:val="none" w:sz="0" w:space="0" w:color="auto"/>
                                  </w:divBdr>
                                </w:div>
                                <w:div w:id="1428887544">
                                  <w:marLeft w:val="0"/>
                                  <w:marRight w:val="0"/>
                                  <w:marTop w:val="0"/>
                                  <w:marBottom w:val="0"/>
                                  <w:divBdr>
                                    <w:top w:val="none" w:sz="0" w:space="0" w:color="auto"/>
                                    <w:left w:val="none" w:sz="0" w:space="0" w:color="auto"/>
                                    <w:bottom w:val="none" w:sz="0" w:space="0" w:color="auto"/>
                                    <w:right w:val="none" w:sz="0" w:space="0" w:color="auto"/>
                                  </w:divBdr>
                                </w:div>
                                <w:div w:id="122358466">
                                  <w:marLeft w:val="0"/>
                                  <w:marRight w:val="0"/>
                                  <w:marTop w:val="0"/>
                                  <w:marBottom w:val="0"/>
                                  <w:divBdr>
                                    <w:top w:val="none" w:sz="0" w:space="0" w:color="auto"/>
                                    <w:left w:val="none" w:sz="0" w:space="0" w:color="auto"/>
                                    <w:bottom w:val="none" w:sz="0" w:space="0" w:color="auto"/>
                                    <w:right w:val="none" w:sz="0" w:space="0" w:color="auto"/>
                                  </w:divBdr>
                                </w:div>
                                <w:div w:id="767702674">
                                  <w:marLeft w:val="0"/>
                                  <w:marRight w:val="0"/>
                                  <w:marTop w:val="0"/>
                                  <w:marBottom w:val="0"/>
                                  <w:divBdr>
                                    <w:top w:val="none" w:sz="0" w:space="0" w:color="auto"/>
                                    <w:left w:val="none" w:sz="0" w:space="0" w:color="auto"/>
                                    <w:bottom w:val="none" w:sz="0" w:space="0" w:color="auto"/>
                                    <w:right w:val="none" w:sz="0" w:space="0" w:color="auto"/>
                                  </w:divBdr>
                                </w:div>
                                <w:div w:id="393237862">
                                  <w:marLeft w:val="0"/>
                                  <w:marRight w:val="0"/>
                                  <w:marTop w:val="0"/>
                                  <w:marBottom w:val="0"/>
                                  <w:divBdr>
                                    <w:top w:val="none" w:sz="0" w:space="0" w:color="auto"/>
                                    <w:left w:val="none" w:sz="0" w:space="0" w:color="auto"/>
                                    <w:bottom w:val="none" w:sz="0" w:space="0" w:color="auto"/>
                                    <w:right w:val="none" w:sz="0" w:space="0" w:color="auto"/>
                                  </w:divBdr>
                                </w:div>
                                <w:div w:id="1509557647">
                                  <w:marLeft w:val="0"/>
                                  <w:marRight w:val="0"/>
                                  <w:marTop w:val="0"/>
                                  <w:marBottom w:val="0"/>
                                  <w:divBdr>
                                    <w:top w:val="none" w:sz="0" w:space="0" w:color="auto"/>
                                    <w:left w:val="none" w:sz="0" w:space="0" w:color="auto"/>
                                    <w:bottom w:val="none" w:sz="0" w:space="0" w:color="auto"/>
                                    <w:right w:val="none" w:sz="0" w:space="0" w:color="auto"/>
                                  </w:divBdr>
                                </w:div>
                                <w:div w:id="1502937363">
                                  <w:marLeft w:val="0"/>
                                  <w:marRight w:val="0"/>
                                  <w:marTop w:val="0"/>
                                  <w:marBottom w:val="0"/>
                                  <w:divBdr>
                                    <w:top w:val="none" w:sz="0" w:space="0" w:color="auto"/>
                                    <w:left w:val="none" w:sz="0" w:space="0" w:color="auto"/>
                                    <w:bottom w:val="none" w:sz="0" w:space="0" w:color="auto"/>
                                    <w:right w:val="none" w:sz="0" w:space="0" w:color="auto"/>
                                  </w:divBdr>
                                </w:div>
                                <w:div w:id="749813024">
                                  <w:marLeft w:val="0"/>
                                  <w:marRight w:val="0"/>
                                  <w:marTop w:val="0"/>
                                  <w:marBottom w:val="0"/>
                                  <w:divBdr>
                                    <w:top w:val="none" w:sz="0" w:space="0" w:color="auto"/>
                                    <w:left w:val="none" w:sz="0" w:space="0" w:color="auto"/>
                                    <w:bottom w:val="none" w:sz="0" w:space="0" w:color="auto"/>
                                    <w:right w:val="none" w:sz="0" w:space="0" w:color="auto"/>
                                  </w:divBdr>
                                </w:div>
                                <w:div w:id="165096764">
                                  <w:marLeft w:val="0"/>
                                  <w:marRight w:val="0"/>
                                  <w:marTop w:val="0"/>
                                  <w:marBottom w:val="0"/>
                                  <w:divBdr>
                                    <w:top w:val="none" w:sz="0" w:space="0" w:color="auto"/>
                                    <w:left w:val="none" w:sz="0" w:space="0" w:color="auto"/>
                                    <w:bottom w:val="none" w:sz="0" w:space="0" w:color="auto"/>
                                    <w:right w:val="none" w:sz="0" w:space="0" w:color="auto"/>
                                  </w:divBdr>
                                </w:div>
                                <w:div w:id="1661731380">
                                  <w:marLeft w:val="0"/>
                                  <w:marRight w:val="0"/>
                                  <w:marTop w:val="0"/>
                                  <w:marBottom w:val="0"/>
                                  <w:divBdr>
                                    <w:top w:val="none" w:sz="0" w:space="0" w:color="auto"/>
                                    <w:left w:val="none" w:sz="0" w:space="0" w:color="auto"/>
                                    <w:bottom w:val="none" w:sz="0" w:space="0" w:color="auto"/>
                                    <w:right w:val="none" w:sz="0" w:space="0" w:color="auto"/>
                                  </w:divBdr>
                                </w:div>
                                <w:div w:id="2071153715">
                                  <w:marLeft w:val="0"/>
                                  <w:marRight w:val="0"/>
                                  <w:marTop w:val="0"/>
                                  <w:marBottom w:val="0"/>
                                  <w:divBdr>
                                    <w:top w:val="none" w:sz="0" w:space="0" w:color="auto"/>
                                    <w:left w:val="none" w:sz="0" w:space="0" w:color="auto"/>
                                    <w:bottom w:val="none" w:sz="0" w:space="0" w:color="auto"/>
                                    <w:right w:val="none" w:sz="0" w:space="0" w:color="auto"/>
                                  </w:divBdr>
                                </w:div>
                                <w:div w:id="1340157445">
                                  <w:marLeft w:val="0"/>
                                  <w:marRight w:val="0"/>
                                  <w:marTop w:val="0"/>
                                  <w:marBottom w:val="0"/>
                                  <w:divBdr>
                                    <w:top w:val="none" w:sz="0" w:space="0" w:color="auto"/>
                                    <w:left w:val="none" w:sz="0" w:space="0" w:color="auto"/>
                                    <w:bottom w:val="none" w:sz="0" w:space="0" w:color="auto"/>
                                    <w:right w:val="none" w:sz="0" w:space="0" w:color="auto"/>
                                  </w:divBdr>
                                </w:div>
                                <w:div w:id="2049988442">
                                  <w:marLeft w:val="0"/>
                                  <w:marRight w:val="0"/>
                                  <w:marTop w:val="0"/>
                                  <w:marBottom w:val="0"/>
                                  <w:divBdr>
                                    <w:top w:val="none" w:sz="0" w:space="0" w:color="auto"/>
                                    <w:left w:val="none" w:sz="0" w:space="0" w:color="auto"/>
                                    <w:bottom w:val="none" w:sz="0" w:space="0" w:color="auto"/>
                                    <w:right w:val="none" w:sz="0" w:space="0" w:color="auto"/>
                                  </w:divBdr>
                                </w:div>
                                <w:div w:id="969357741">
                                  <w:marLeft w:val="0"/>
                                  <w:marRight w:val="0"/>
                                  <w:marTop w:val="0"/>
                                  <w:marBottom w:val="0"/>
                                  <w:divBdr>
                                    <w:top w:val="none" w:sz="0" w:space="0" w:color="auto"/>
                                    <w:left w:val="none" w:sz="0" w:space="0" w:color="auto"/>
                                    <w:bottom w:val="none" w:sz="0" w:space="0" w:color="auto"/>
                                    <w:right w:val="none" w:sz="0" w:space="0" w:color="auto"/>
                                  </w:divBdr>
                                </w:div>
                              </w:divsChild>
                            </w:div>
                            <w:div w:id="1163230783">
                              <w:marLeft w:val="0"/>
                              <w:marRight w:val="0"/>
                              <w:marTop w:val="0"/>
                              <w:marBottom w:val="0"/>
                              <w:divBdr>
                                <w:top w:val="none" w:sz="0" w:space="0" w:color="auto"/>
                                <w:left w:val="none" w:sz="0" w:space="0" w:color="auto"/>
                                <w:bottom w:val="none" w:sz="0" w:space="0" w:color="auto"/>
                                <w:right w:val="none" w:sz="0" w:space="0" w:color="auto"/>
                              </w:divBdr>
                            </w:div>
                            <w:div w:id="1527134560">
                              <w:marLeft w:val="0"/>
                              <w:marRight w:val="0"/>
                              <w:marTop w:val="0"/>
                              <w:marBottom w:val="0"/>
                              <w:divBdr>
                                <w:top w:val="none" w:sz="0" w:space="0" w:color="auto"/>
                                <w:left w:val="none" w:sz="0" w:space="0" w:color="auto"/>
                                <w:bottom w:val="none" w:sz="0" w:space="0" w:color="auto"/>
                                <w:right w:val="none" w:sz="0" w:space="0" w:color="auto"/>
                              </w:divBdr>
                            </w:div>
                            <w:div w:id="755832196">
                              <w:marLeft w:val="0"/>
                              <w:marRight w:val="0"/>
                              <w:marTop w:val="0"/>
                              <w:marBottom w:val="0"/>
                              <w:divBdr>
                                <w:top w:val="none" w:sz="0" w:space="0" w:color="auto"/>
                                <w:left w:val="none" w:sz="0" w:space="0" w:color="auto"/>
                                <w:bottom w:val="none" w:sz="0" w:space="0" w:color="auto"/>
                                <w:right w:val="none" w:sz="0" w:space="0" w:color="auto"/>
                              </w:divBdr>
                            </w:div>
                            <w:div w:id="17524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578695">
      <w:bodyDiv w:val="1"/>
      <w:marLeft w:val="0"/>
      <w:marRight w:val="0"/>
      <w:marTop w:val="0"/>
      <w:marBottom w:val="0"/>
      <w:divBdr>
        <w:top w:val="none" w:sz="0" w:space="0" w:color="auto"/>
        <w:left w:val="none" w:sz="0" w:space="0" w:color="auto"/>
        <w:bottom w:val="none" w:sz="0" w:space="0" w:color="auto"/>
        <w:right w:val="none" w:sz="0" w:space="0" w:color="auto"/>
      </w:divBdr>
    </w:div>
    <w:div w:id="583879017">
      <w:bodyDiv w:val="1"/>
      <w:marLeft w:val="0"/>
      <w:marRight w:val="0"/>
      <w:marTop w:val="0"/>
      <w:marBottom w:val="0"/>
      <w:divBdr>
        <w:top w:val="none" w:sz="0" w:space="0" w:color="auto"/>
        <w:left w:val="none" w:sz="0" w:space="0" w:color="auto"/>
        <w:bottom w:val="none" w:sz="0" w:space="0" w:color="auto"/>
        <w:right w:val="none" w:sz="0" w:space="0" w:color="auto"/>
      </w:divBdr>
    </w:div>
    <w:div w:id="836270407">
      <w:bodyDiv w:val="1"/>
      <w:marLeft w:val="0"/>
      <w:marRight w:val="0"/>
      <w:marTop w:val="0"/>
      <w:marBottom w:val="0"/>
      <w:divBdr>
        <w:top w:val="none" w:sz="0" w:space="0" w:color="auto"/>
        <w:left w:val="none" w:sz="0" w:space="0" w:color="auto"/>
        <w:bottom w:val="none" w:sz="0" w:space="0" w:color="auto"/>
        <w:right w:val="none" w:sz="0" w:space="0" w:color="auto"/>
      </w:divBdr>
    </w:div>
    <w:div w:id="980116002">
      <w:bodyDiv w:val="1"/>
      <w:marLeft w:val="0"/>
      <w:marRight w:val="0"/>
      <w:marTop w:val="0"/>
      <w:marBottom w:val="0"/>
      <w:divBdr>
        <w:top w:val="none" w:sz="0" w:space="0" w:color="auto"/>
        <w:left w:val="none" w:sz="0" w:space="0" w:color="auto"/>
        <w:bottom w:val="none" w:sz="0" w:space="0" w:color="auto"/>
        <w:right w:val="none" w:sz="0" w:space="0" w:color="auto"/>
      </w:divBdr>
      <w:divsChild>
        <w:div w:id="1491292681">
          <w:marLeft w:val="0"/>
          <w:marRight w:val="0"/>
          <w:marTop w:val="0"/>
          <w:marBottom w:val="0"/>
          <w:divBdr>
            <w:top w:val="none" w:sz="0" w:space="0" w:color="auto"/>
            <w:left w:val="none" w:sz="0" w:space="0" w:color="auto"/>
            <w:bottom w:val="none" w:sz="0" w:space="0" w:color="auto"/>
            <w:right w:val="none" w:sz="0" w:space="0" w:color="auto"/>
          </w:divBdr>
          <w:divsChild>
            <w:div w:id="1116094477">
              <w:marLeft w:val="0"/>
              <w:marRight w:val="0"/>
              <w:marTop w:val="0"/>
              <w:marBottom w:val="0"/>
              <w:divBdr>
                <w:top w:val="none" w:sz="0" w:space="0" w:color="auto"/>
                <w:left w:val="none" w:sz="0" w:space="0" w:color="auto"/>
                <w:bottom w:val="none" w:sz="0" w:space="0" w:color="auto"/>
                <w:right w:val="none" w:sz="0" w:space="0" w:color="auto"/>
              </w:divBdr>
              <w:divsChild>
                <w:div w:id="1640498431">
                  <w:marLeft w:val="0"/>
                  <w:marRight w:val="0"/>
                  <w:marTop w:val="0"/>
                  <w:marBottom w:val="0"/>
                  <w:divBdr>
                    <w:top w:val="none" w:sz="0" w:space="0" w:color="auto"/>
                    <w:left w:val="none" w:sz="0" w:space="0" w:color="auto"/>
                    <w:bottom w:val="none" w:sz="0" w:space="0" w:color="auto"/>
                    <w:right w:val="none" w:sz="0" w:space="0" w:color="auto"/>
                  </w:divBdr>
                  <w:divsChild>
                    <w:div w:id="1110782171">
                      <w:marLeft w:val="0"/>
                      <w:marRight w:val="0"/>
                      <w:marTop w:val="0"/>
                      <w:marBottom w:val="0"/>
                      <w:divBdr>
                        <w:top w:val="none" w:sz="0" w:space="0" w:color="auto"/>
                        <w:left w:val="none" w:sz="0" w:space="0" w:color="auto"/>
                        <w:bottom w:val="none" w:sz="0" w:space="0" w:color="auto"/>
                        <w:right w:val="none" w:sz="0" w:space="0" w:color="auto"/>
                      </w:divBdr>
                      <w:divsChild>
                        <w:div w:id="726682097">
                          <w:marLeft w:val="0"/>
                          <w:marRight w:val="0"/>
                          <w:marTop w:val="0"/>
                          <w:marBottom w:val="0"/>
                          <w:divBdr>
                            <w:top w:val="none" w:sz="0" w:space="0" w:color="auto"/>
                            <w:left w:val="none" w:sz="0" w:space="0" w:color="auto"/>
                            <w:bottom w:val="none" w:sz="0" w:space="0" w:color="auto"/>
                            <w:right w:val="none" w:sz="0" w:space="0" w:color="auto"/>
                          </w:divBdr>
                        </w:div>
                        <w:div w:id="1311642104">
                          <w:marLeft w:val="0"/>
                          <w:marRight w:val="0"/>
                          <w:marTop w:val="0"/>
                          <w:marBottom w:val="0"/>
                          <w:divBdr>
                            <w:top w:val="none" w:sz="0" w:space="0" w:color="auto"/>
                            <w:left w:val="none" w:sz="0" w:space="0" w:color="auto"/>
                            <w:bottom w:val="none" w:sz="0" w:space="0" w:color="auto"/>
                            <w:right w:val="none" w:sz="0" w:space="0" w:color="auto"/>
                          </w:divBdr>
                        </w:div>
                        <w:div w:id="153203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505172">
      <w:bodyDiv w:val="1"/>
      <w:marLeft w:val="0"/>
      <w:marRight w:val="0"/>
      <w:marTop w:val="0"/>
      <w:marBottom w:val="0"/>
      <w:divBdr>
        <w:top w:val="none" w:sz="0" w:space="0" w:color="auto"/>
        <w:left w:val="none" w:sz="0" w:space="0" w:color="auto"/>
        <w:bottom w:val="none" w:sz="0" w:space="0" w:color="auto"/>
        <w:right w:val="none" w:sz="0" w:space="0" w:color="auto"/>
      </w:divBdr>
    </w:div>
    <w:div w:id="1138836288">
      <w:bodyDiv w:val="1"/>
      <w:marLeft w:val="0"/>
      <w:marRight w:val="0"/>
      <w:marTop w:val="0"/>
      <w:marBottom w:val="0"/>
      <w:divBdr>
        <w:top w:val="none" w:sz="0" w:space="0" w:color="auto"/>
        <w:left w:val="none" w:sz="0" w:space="0" w:color="auto"/>
        <w:bottom w:val="none" w:sz="0" w:space="0" w:color="auto"/>
        <w:right w:val="none" w:sz="0" w:space="0" w:color="auto"/>
      </w:divBdr>
    </w:div>
    <w:div w:id="1293251022">
      <w:bodyDiv w:val="1"/>
      <w:marLeft w:val="0"/>
      <w:marRight w:val="0"/>
      <w:marTop w:val="0"/>
      <w:marBottom w:val="0"/>
      <w:divBdr>
        <w:top w:val="none" w:sz="0" w:space="0" w:color="auto"/>
        <w:left w:val="none" w:sz="0" w:space="0" w:color="auto"/>
        <w:bottom w:val="none" w:sz="0" w:space="0" w:color="auto"/>
        <w:right w:val="none" w:sz="0" w:space="0" w:color="auto"/>
      </w:divBdr>
    </w:div>
    <w:div w:id="1526093273">
      <w:bodyDiv w:val="1"/>
      <w:marLeft w:val="0"/>
      <w:marRight w:val="0"/>
      <w:marTop w:val="0"/>
      <w:marBottom w:val="0"/>
      <w:divBdr>
        <w:top w:val="none" w:sz="0" w:space="0" w:color="auto"/>
        <w:left w:val="none" w:sz="0" w:space="0" w:color="auto"/>
        <w:bottom w:val="none" w:sz="0" w:space="0" w:color="auto"/>
        <w:right w:val="none" w:sz="0" w:space="0" w:color="auto"/>
      </w:divBdr>
      <w:divsChild>
        <w:div w:id="128783761">
          <w:marLeft w:val="0"/>
          <w:marRight w:val="0"/>
          <w:marTop w:val="0"/>
          <w:marBottom w:val="0"/>
          <w:divBdr>
            <w:top w:val="none" w:sz="0" w:space="0" w:color="auto"/>
            <w:left w:val="none" w:sz="0" w:space="0" w:color="auto"/>
            <w:bottom w:val="none" w:sz="0" w:space="0" w:color="auto"/>
            <w:right w:val="none" w:sz="0" w:space="0" w:color="auto"/>
          </w:divBdr>
        </w:div>
      </w:divsChild>
    </w:div>
    <w:div w:id="171450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fontTable" Target="fontTable.xml"/>
  <Relationship Id="rId17" Type="http://schemas.openxmlformats.org/officeDocument/2006/relationships/theme" Target="theme/theme1.xml"/>
  <Relationship Id="rId2" Type="http://schemas.openxmlformats.org/officeDocument/2006/relationships/styles" Target="styles.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916C5-197B-4B1F-882B-87227C04C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1871</Words>
  <Characters>13909</Characters>
  <Application>Microsoft Office Word</Application>
  <DocSecurity>4</DocSecurity>
  <Lines>235</Lines>
  <Paragraphs>80</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15700</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2017-04-27T11:58:00Z</dcterms:created>
  <dc:creator>Darius Šaltmeris</dc:creator>
  <lastModifiedBy>adlibuser</lastModifiedBy>
  <lastPrinted>2017-03-14T09:05:00Z</lastPrinted>
  <dcterms:modified xsi:type="dcterms:W3CDTF">2017-04-27T11:58:00Z</dcterms:modified>
  <revision>2</revision>
</coreProperties>
</file>