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both"/>
      </w:pPr>
      <w:r>
        <w:rPr>
          <w:rFonts w:ascii="Times New Roman" w:hAnsi="Times New Roman"/>
          <w:sz w:val="24"/>
        </w:rPr>
        <w:t xml:space="preserve">The applicant confirms that the reference number is N 11-12.</w:t>
      </w:r>
    </w:p>
    <w:sectPr>
      <w:pgSz w:w="8718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