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ind w:right="5049"/>
        <w:jc w:val="both"/>
        <w:rPr>
          <w:rFonts w:ascii="Times New Roman" w:hAnsi="Times New Roman"/>
          <w:b/>
          <w:i/>
          <w:sz w:val="28"/>
          <w:kern w:val="0"/>
        </w:rPr>
      </w:pPr>
      <w:r>
        <w:rPr>
          <w:rFonts w:ascii="Times New Roman" w:hAnsi="Times New Roman"/>
          <w:b/>
          <w:i/>
          <w:sz w:val="28"/>
          <w:kern w:val="0"/>
        </w:rPr>
        <w:t>Alpha beta gamma delta A12-1/2/3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