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000" w:type="dxa"/>
        <w:tblCellMar>
          <w:left w:w="0" w:type="dxa"/>
          <w:right w:w="0" w:type="dxa"/>
        </w:tblCellMar>
        <w:tblLayout w:type="fixed"/>
      </w:tblPr>
      <w:tblGrid>
        <w:gridCol w:w="7800"/>
        <w:gridCol w:w="1200"/>
      </w:tblGrid>
      <w:tr>
        <w:tc>
          <w:tcPr>
            <w:tcW w:w="7800" w:type="dxa"/>
          </w:tcPr>
          <w:p>
            <w:pPr>
              <w:ind w:right="0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color w:val="000000"/>
              </w:rPr>
              <w:t>Left cell</w:t>
            </w:r>
          </w:p>
        </w:tc>
        <w:tc>
          <w:tcPr>
            <w:tcW w:w="1200" w:type="dxa"/>
          </w:tcPr>
          <w:p>
            <w:pPr>
              <w:ind w:right="1228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color w:val="000000"/>
              </w:rPr>
              <w:t>ExampleAB@department.gov.ru</w:t>
            </w:r>
          </w:p>
        </w:tc>
      </w:tr>
    </w:tbl>
    <w:p>
      <w:pPr>
        <w:ind w:right="0"/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00"/>
        </w:rPr>
        <w:t>Following paragraph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