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4200" w:type="dxa"/>
        <w:tblLayout w:type="fixed"/>
        <w:tblCellMar>
          <w:left w:w="0" w:type="dxa"/>
          <w:right w:w="0" w:type="dxa"/>
        </w:tblCellMar>
      </w:tblPr>
      <w:tblGrid>
        <w:gridCol w:w="4200"/>
      </w:tblGrid>
      <w:tr>
        <w:tc>
          <w:tcPr>
            <w:tcW w:w="0" w:type="auto"/>
          </w:tcPr>
          <w:tbl>
            <w:tblPr>
              <w:tblW w:w="0" w:type="auto"/>
              <w:tblCellMar>
                <w:left w:w="216" w:type="dxa"/>
                <w:right w:w="216" w:type="dxa"/>
              </w:tblCellMar>
            </w:tblPr>
            <w:tblGrid>
              <w:gridCol w:w="4200"/>
            </w:tblGrid>
            <w:tr>
              <w:tc>
                <w:tcPr>
                  <w:tcW w:w="0" w:type="auto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Review documentation and reference</w:t>
                  </w:r>
                </w:p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Second topic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Body marker after table</w:t>
      </w:r>
    </w:p>
    <w:sectPr>
      <w:pgSz w:w="11906" w:h="16838"/>
      <w:pgMar w:top="1440" w:bottom="1440" w:left="1440" w:right="1440"/>
    </w:sectPr>
  </w:body>
</w:document>
</file>