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Date and number marker</w:t>
            </w:r>
          </w:p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Reference marker</w:t>
            </w:r>
          </w:p>
        </w:tc>
      </w:tr>
    </w:tbl>
    <w:p>
      <w:pPr>
        <w:ind w:left="5100" w:right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Recipient first line and second line with a longer department name and city address. Recipient first line and second line with a longer department name and city address. Recipient first line and second line with a longer department name and city address. Recipient first line and second line with a longer department name and city address. </w:t>
      </w:r>
    </w:p>
    <w:p>
      <w:pPr>
        <w:ind w:left="0" w:right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 below recipient</w:t>
      </w:r>
    </w:p>
    <w:sectPr>
      <w:pgSz w:w="11906" w:h="16838"/>
      <w:pgMar w:top="1440" w:bottom="1440" w:left="1440" w:right="1440"/>
    </w:sectPr>
  </w:body>
</w:document>
</file>