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360" w:lineRule="auto"/>
        <w:jc w:val="both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 xml:space="preserve">9. </w:t>
      </w:r>
      <w:r>
        <w:rPr>
          <w:rFonts w:ascii="Times New Roman" w:hAnsi="Times New Roman"/>
          <w:sz w:val="28"/>
          <w:u w:val="single"/>
        </w:rPr>
        <w:t xml:space="preserve">Параметры теплоносителя и пределы его отклонения в точках под</w:t>
      </w:r>
      <w:r>
        <w:rPr>
          <w:rFonts w:ascii="Times New Roman" w:hAnsi="Times New Roman"/>
          <w:sz w:val="28"/>
          <w:u w:val="single"/>
        </w:rPr>
        <w:t xml:space="preserve">ключения к тепловой сети с учетом роста нагрузок в системе теплоснабжения:</w:t>
      </w:r>
    </w:p>
    <w:sectPr>
      <w:pgSz w:w="11909" w:h="16834"/>
      <w:pgMar w:top="1134" w:bottom="1134" w:left="1701" w:right="85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