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Before marker</w:t>
      </w:r>
    </w:p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rPr>
          <w:trHeight w:val="2500"/>
        </w:trPr>
        <w:tc>
          <w:tcPr>
            <w:tcW w:w="6000" w:type="dxa"/>
          </w:tcPr>
          <w:tbl>
            <w:tblPr>
              <w:tblpPr w:horzAnchor="margin" w:vertAnchor="text" w:tblpY="400" w:tblpX="0"/>
              <w:tblW w:w="6200" w:type="dxa"/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6200"/>
            </w:tblGrid>
            <w:tr>
              <w:tc>
                <w:tcPr>
                  <w:tcW w:w="6200" w:type="dxa"/>
                </w:tcPr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>Float marker</w:t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After marker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