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Stacked Bar Chart Tests</w:t>
      </w:r>
    </w:p>
    <w:p>
      <w:r>
        <w:t>Chart 1: Vertical stacked bar (3 series, 4 categories)</w:t>
      </w:r>
    </w:p>
    <w:p>
      <w:r>
        <w:drawing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        <wp:inline distT="0" distB="0" distL="0" distR="0">
            <wp:extent cx="4572000" cy="2743200"/>
            <wp:effectExtent l="0" t="0" r="0" b="0"/>
            <wp:docPr id="9" name="Chart rId9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/>
    <w:p>
      <w:r>
        <w:t>Chart 2: Horizontal stacked bar (3 series, 5 categories)</w:t>
      </w:r>
    </w:p>
    <w:p>
      <w:r>
        <w:drawing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        <wp:inline distT="0" distB="0" distL="0" distR="0">
            <wp:extent cx="5486400" cy="2743200"/>
            <wp:effectExtent l="0" t="0" r="0" b="0"/>
            <wp:docPr id="10" name="Chart rId10"/>
            <wp:cNvGraphicFramePr/>
            <a:graphic>
              <a:graphicData uri="http://schemas.openxmlformats.org/drawingml/2006/chart">
                <c:chart r:id="rId10"/>
              </a:graphicData>
            </a:graphic>
          </wp:inline>
        </w:drawing>
      </w:r>
    </w:p>
    <w:p/>
    <w:p>
      <w:r>
        <w:t>Chart 3: Vertical percent-stacked bar (3 series, 4 categories)</w:t>
      </w:r>
    </w:p>
    <w:p>
      <w:r>
        <w:drawing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        <wp:inline distT="0" distB="0" distL="0" distR="0">
            <wp:extent cx="4572000" cy="2743200"/>
            <wp:effectExtent l="0" t="0" r="0" b="0"/>
            <wp:docPr id="11" name="Chart rId11"/>
            <wp:cNvGraphicFramePr/>
            <a:graphic>
              <a:graphicData uri="http://schemas.openxmlformats.org/drawingml/2006/chart">
                <c:chart r:id="rId11"/>
              </a:graphicData>
            </a:graphic>
          </wp:inline>
        </w:drawing>
      </w:r>
    </w:p>
    <w:p/>
    <w:p>
      <w:r>
        <w:t>Chart 4: Horizontal percent-stacked bar (2 series, 6 categories)</w:t>
      </w:r>
    </w:p>
    <w:p>
      <w:r>
        <w:drawing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        <wp:inline distT="0" distB="0" distL="0" distR="0">
            <wp:extent cx="5486400" cy="2743200"/>
            <wp:effectExtent l="0" t="0" r="0" b="0"/>
            <wp:docPr id="12" name="Chart rId12"/>
            <wp:cNvGraphicFramePr/>
            <a:graphic>
              <a:graphicData uri="http://schemas.openxmlformats.org/drawingml/2006/chart">
                <c:chart r:id="rId12"/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chart" Target="charts/chart2.xml"/><Relationship Id="rId11" Type="http://schemas.openxmlformats.org/officeDocument/2006/relationships/chart" Target="charts/chart3.xml"/><Relationship Id="rId12" Type="http://schemas.openxmlformats.org/officeDocument/2006/relationships/chart" Target="charts/chart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plotArea>
      <c:layout/>
      <c:barChart>
        <c:barDir val="col"/>
        <c:grouping val="stacked"/>
        <c:ser>
          <c:idx val="0"/>
          <c:order val="0"/>
          <c:tx>
            <c:strRef>
              <c:f>label0</c:f>
              <c:strCache>
                <c:ptCount val="1"/>
                <c:pt idx="0">
                  <c:v>Hardware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cats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4"/>
                <c:pt idx="0">
                  <c:v>120</c:v>
                </c:pt>
                <c:pt idx="1">
                  <c:v>145</c:v>
                </c:pt>
                <c:pt idx="2">
                  <c:v>132</c:v>
                </c:pt>
                <c:pt idx="3">
                  <c:v>168</c:v>
                </c:pt>
              </c:numCache>
            </c:numRef>
          </c:val>
        </c:ser>
        <c:ser>
          <c:idx val="1"/>
          <c:order val="1"/>
          <c:tx>
            <c:strRef>
              <c:f>label1</c:f>
              <c:strCache>
                <c:ptCount val="1"/>
                <c:pt idx="0">
                  <c:v>Software</c:v>
                </c:pt>
              </c:strCache>
            </c:strRef>
          </c:tx>
          <c:spPr>
            <a:solidFill>
              <a:srgbClr val="ED7D31"/>
            </a:solidFill>
            <a:ln>
              <a:noFill/>
            </a:ln>
          </c:spPr>
          <c:cat>
            <c:strRef>
              <c:f>cats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4"/>
                <c:pt idx="0">
                  <c:v>85</c:v>
                </c:pt>
                <c:pt idx="1">
                  <c:v>92</c:v>
                </c:pt>
                <c:pt idx="2">
                  <c:v>110</c:v>
                </c:pt>
                <c:pt idx="3">
                  <c:v>95</c:v>
                </c:pt>
              </c:numCache>
            </c:numRef>
          </c:val>
        </c:ser>
        <c:ser>
          <c:idx val="2"/>
          <c:order val="2"/>
          <c:tx>
            <c:strRef>
              <c:f>label2</c:f>
              <c:strCache>
                <c:ptCount val="1"/>
                <c:pt idx="0">
                  <c:v>Services</c:v>
                </c:pt>
              </c:strCache>
            </c:strRef>
          </c:tx>
          <c:spPr>
            <a:solidFill>
              <a:srgbClr val="A5A5A5"/>
            </a:solidFill>
            <a:ln>
              <a:noFill/>
            </a:ln>
          </c:spPr>
          <c:cat>
            <c:strRef>
              <c:f>cats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2</c:f>
              <c:numCache>
                <c:formatCode>General</c:formatCode>
                <c:ptCount val="4"/>
                <c:pt idx="0">
                  <c:v>40</c:v>
                </c:pt>
                <c:pt idx="1">
                  <c:v>55</c:v>
                </c:pt>
                <c:pt idx="2">
                  <c:v>48</c:v>
                </c:pt>
                <c:pt idx="3">
                  <c:v>72</c:v>
                </c:pt>
              </c:numCache>
            </c:numRef>
          </c:val>
        </c:ser>
        <c:gapWidth val="100"/>
        <c:overlap val="100"/>
        <c:axId val="100"/>
        <c:axId val="200"/>
      </c:barChart>
      <c:catAx>
        <c:axId val="10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crossAx val="200"/>
        <c:crossesAt val="0"/>
      </c:catAx>
      <c:valAx>
        <c:axId val="200"/>
        <c:scaling>
          <c:orientation val="minMax"/>
        </c:scaling>
        <c:delete val="0"/>
        <c:axPos val="l"/>
        <c:majorGridlines>
          <c:spPr>
            <a:ln>
              <a:solidFill>
                <a:srgbClr val="b3b3b3"/>
              </a:solidFill>
            </a:ln>
          </c:spPr>
        </c:majorGridlines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crossAx val="100"/>
        <c:crossesAt val="0"/>
      </c:valAx>
      <c:spPr>
        <a:noFill/>
        <a:ln>
          <a:solidFill>
            <a:srgbClr val="b3b3b3"/>
          </a:solidFill>
        </a:ln>
      </c:spPr>
    </c:plotArea>
    <c:legend>
      <c:legendPos val="r"/>
      <c:overlay val="0"/>
      <c:spPr>
        <a:noFill/>
        <a:ln>
          <a:noFill/>
        </a:ln>
      </c:spPr>
    </c:legend>
    <c:plotVisOnly val="1"/>
  </c:chart>
  <c:spPr>
    <a:noFill/>
    <a:ln>
      <a:noFill/>
    </a:ln>
  </c:spPr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plotArea>
      <c:layout/>
      <c:barChart>
        <c:barDir val="bar"/>
        <c:grouping val="stacked"/>
        <c:ser>
          <c:idx val="0"/>
          <c:order val="0"/>
          <c:tx>
            <c:strRef>
              <c:f>label0</c:f>
              <c:strCache>
                <c:ptCount val="1"/>
                <c:pt idx="0">
                  <c:v>Salary</c:v>
                </c:pt>
              </c:strCache>
            </c:strRef>
          </c:tx>
          <c:spPr>
            <a:solidFill>
              <a:srgbClr val="2E75B6"/>
            </a:solidFill>
            <a:ln>
              <a:noFill/>
            </a:ln>
          </c:spPr>
          <c:cat>
            <c:strRef>
              <c:f>cats</c:f>
              <c:strCache>
                <c:ptCount val="5"/>
                <c:pt idx="0">
                  <c:v>Engineering</c:v>
                </c:pt>
                <c:pt idx="1">
                  <c:v>Marketing</c:v>
                </c:pt>
                <c:pt idx="2">
                  <c:v>Sales</c:v>
                </c:pt>
                <c:pt idx="3">
                  <c:v>Support</c:v>
                </c:pt>
                <c:pt idx="4">
                  <c:v>Admin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5"/>
                <c:pt idx="0">
                  <c:v>450</c:v>
                </c:pt>
                <c:pt idx="1">
                  <c:v>220</c:v>
                </c:pt>
                <c:pt idx="2">
                  <c:v>380</c:v>
                </c:pt>
                <c:pt idx="3">
                  <c:v>150</c:v>
                </c:pt>
                <c:pt idx="4">
                  <c:v>120</c:v>
                </c:pt>
              </c:numCache>
            </c:numRef>
          </c:val>
        </c:ser>
        <c:ser>
          <c:idx val="1"/>
          <c:order val="1"/>
          <c:tx>
            <c:strRef>
              <c:f>label1</c:f>
              <c:strCache>
                <c:ptCount val="1"/>
                <c:pt idx="0">
                  <c:v>Benefits</c:v>
                </c:pt>
              </c:strCache>
            </c:strRef>
          </c:tx>
          <c:spPr>
            <a:solidFill>
              <a:srgbClr val="BF504D"/>
            </a:solidFill>
            <a:ln>
              <a:noFill/>
            </a:ln>
          </c:spPr>
          <c:cat>
            <c:strRef>
              <c:f>cats</c:f>
              <c:strCache>
                <c:ptCount val="5"/>
                <c:pt idx="0">
                  <c:v>Engineering</c:v>
                </c:pt>
                <c:pt idx="1">
                  <c:v>Marketing</c:v>
                </c:pt>
                <c:pt idx="2">
                  <c:v>Sales</c:v>
                </c:pt>
                <c:pt idx="3">
                  <c:v>Support</c:v>
                </c:pt>
                <c:pt idx="4">
                  <c:v>Admin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5"/>
                <c:pt idx="0">
                  <c:v>135</c:v>
                </c:pt>
                <c:pt idx="1">
                  <c:v>66</c:v>
                </c:pt>
                <c:pt idx="2">
                  <c:v>114</c:v>
                </c:pt>
                <c:pt idx="3">
                  <c:v>45</c:v>
                </c:pt>
                <c:pt idx="4">
                  <c:v>36</c:v>
                </c:pt>
              </c:numCache>
            </c:numRef>
          </c:val>
        </c:ser>
        <c:ser>
          <c:idx val="2"/>
          <c:order val="2"/>
          <c:tx>
            <c:strRef>
              <c:f>label2</c:f>
              <c:strCache>
                <c:ptCount val="1"/>
                <c:pt idx="0">
                  <c:v>Training</c:v>
                </c:pt>
              </c:strCache>
            </c:strRef>
          </c:tx>
          <c:spPr>
            <a:solidFill>
              <a:srgbClr val="548235"/>
            </a:solidFill>
            <a:ln>
              <a:noFill/>
            </a:ln>
          </c:spPr>
          <c:cat>
            <c:strRef>
              <c:f>cats</c:f>
              <c:strCache>
                <c:ptCount val="5"/>
                <c:pt idx="0">
                  <c:v>Engineering</c:v>
                </c:pt>
                <c:pt idx="1">
                  <c:v>Marketing</c:v>
                </c:pt>
                <c:pt idx="2">
                  <c:v>Sales</c:v>
                </c:pt>
                <c:pt idx="3">
                  <c:v>Support</c:v>
                </c:pt>
                <c:pt idx="4">
                  <c:v>Admin</c:v>
                </c:pt>
              </c:strCache>
            </c:strRef>
          </c:cat>
          <c:val>
            <c:numRef>
              <c:f>2</c:f>
              <c:numCache>
                <c:formatCode>General</c:formatCode>
                <c:ptCount val="5"/>
                <c:pt idx="0">
                  <c:v>45</c:v>
                </c:pt>
                <c:pt idx="1">
                  <c:v>22</c:v>
                </c:pt>
                <c:pt idx="2">
                  <c:v>38</c:v>
                </c:pt>
                <c:pt idx="3">
                  <c:v>15</c:v>
                </c:pt>
                <c:pt idx="4">
                  <c:v>12</c:v>
                </c:pt>
              </c:numCache>
            </c:numRef>
          </c:val>
        </c:ser>
        <c:gapWidth val="80"/>
        <c:overlap val="100"/>
        <c:axId val="100"/>
        <c:axId val="200"/>
      </c:barChart>
      <c:catAx>
        <c:axId val="100"/>
        <c:scaling>
          <c:orientation val="minMax"/>
        </c:scaling>
        <c:delete val="0"/>
        <c:axPos val="l"/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crossAx val="200"/>
        <c:crossesAt val="0"/>
      </c:catAx>
      <c:valAx>
        <c:axId val="200"/>
        <c:scaling>
          <c:orientation val="minMax"/>
        </c:scaling>
        <c:delete val="0"/>
        <c:axPos val="b"/>
        <c:majorGridlines>
          <c:spPr>
            <a:ln>
              <a:solidFill>
                <a:srgbClr val="b3b3b3"/>
              </a:solidFill>
            </a:ln>
          </c:spPr>
        </c:majorGridlines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crossAx val="100"/>
        <c:crossesAt val="0"/>
      </c:valAx>
      <c:spPr>
        <a:noFill/>
        <a:ln>
          <a:solidFill>
            <a:srgbClr val="b3b3b3"/>
          </a:solidFill>
        </a:ln>
      </c:spPr>
    </c:plotArea>
    <c:legend>
      <c:legendPos val="b"/>
      <c:overlay val="0"/>
      <c:spPr>
        <a:noFill/>
        <a:ln>
          <a:noFill/>
        </a:ln>
      </c:spPr>
    </c:legend>
    <c:plotVisOnly val="1"/>
  </c:chart>
  <c:spPr>
    <a:noFill/>
    <a:ln>
      <a:noFill/>
    </a:ln>
  </c:spPr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plotArea>
      <c:layout/>
      <c:barChart>
        <c:barDir val="col"/>
        <c:grouping val="percentStacked"/>
        <c:ser>
          <c:idx val="0"/>
          <c:order val="0"/>
          <c:tx>
            <c:strRef>
              <c:f>label0</c:f>
              <c:strCache>
                <c:ptCount val="1"/>
                <c:pt idx="0">
                  <c:v>Product A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cats</c:f>
              <c:strCache>
                <c:ptCount val="4"/>
                <c:pt idx="0">
                  <c:v>North</c:v>
                </c:pt>
                <c:pt idx="1">
                  <c:v>South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25</c:v>
                </c:pt>
                <c:pt idx="3">
                  <c:v>50</c:v>
                </c:pt>
              </c:numCache>
            </c:numRef>
          </c:val>
        </c:ser>
        <c:ser>
          <c:idx val="1"/>
          <c:order val="1"/>
          <c:tx>
            <c:strRef>
              <c:f>label1</c:f>
              <c:strCache>
                <c:ptCount val="1"/>
                <c:pt idx="0">
                  <c:v>Product B</c:v>
                </c:pt>
              </c:strCache>
            </c:strRef>
          </c:tx>
          <c:spPr>
            <a:solidFill>
              <a:srgbClr val="ED7D31"/>
            </a:solidFill>
            <a:ln>
              <a:noFill/>
            </a:ln>
          </c:spPr>
          <c:cat>
            <c:strRef>
              <c:f>cats</c:f>
              <c:strCache>
                <c:ptCount val="4"/>
                <c:pt idx="0">
                  <c:v>North</c:v>
                </c:pt>
                <c:pt idx="1">
                  <c:v>South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4"/>
                <c:pt idx="0">
                  <c:v>50</c:v>
                </c:pt>
                <c:pt idx="1">
                  <c:v>30</c:v>
                </c:pt>
                <c:pt idx="2">
                  <c:v>55</c:v>
                </c:pt>
                <c:pt idx="3">
                  <c:v>25</c:v>
                </c:pt>
              </c:numCache>
            </c:numRef>
          </c:val>
        </c:ser>
        <c:ser>
          <c:idx val="2"/>
          <c:order val="2"/>
          <c:tx>
            <c:strRef>
              <c:f>label2</c:f>
              <c:strCache>
                <c:ptCount val="1"/>
                <c:pt idx="0">
                  <c:v>Product C</c:v>
                </c:pt>
              </c:strCache>
            </c:strRef>
          </c:tx>
          <c:spPr>
            <a:solidFill>
              <a:srgbClr val="70AD47"/>
            </a:solidFill>
            <a:ln>
              <a:noFill/>
            </a:ln>
          </c:spPr>
          <c:cat>
            <c:strRef>
              <c:f>cats</c:f>
              <c:strCache>
                <c:ptCount val="4"/>
                <c:pt idx="0">
                  <c:v>North</c:v>
                </c:pt>
                <c:pt idx="1">
                  <c:v>South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2</c:f>
              <c:numCache>
                <c:formatCode>General</c:formatCode>
                <c:ptCount val="4"/>
                <c:pt idx="0">
                  <c:v>20</c:v>
                </c:pt>
                <c:pt idx="1">
                  <c:v>25</c:v>
                </c:pt>
                <c:pt idx="2">
                  <c:v>20</c:v>
                </c:pt>
                <c:pt idx="3">
                  <c:v>25</c:v>
                </c:pt>
              </c:numCache>
            </c:numRef>
          </c:val>
        </c:ser>
        <c:gapWidth val="100"/>
        <c:overlap val="100"/>
        <c:axId val="100"/>
        <c:axId val="200"/>
      </c:barChart>
      <c:catAx>
        <c:axId val="10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crossAx val="200"/>
        <c:crossesAt val="0"/>
      </c:catAx>
      <c:valAx>
        <c:axId val="200"/>
        <c:scaling>
          <c:orientation val="minMax"/>
        </c:scaling>
        <c:delete val="0"/>
        <c:axPos val="l"/>
        <c:majorGridlines>
          <c:spPr>
            <a:ln>
              <a:solidFill>
                <a:srgbClr val="b3b3b3"/>
              </a:solidFill>
            </a:ln>
          </c:spPr>
        </c:majorGridlines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crossAx val="100"/>
        <c:crossesAt val="0"/>
      </c:valAx>
      <c:spPr>
        <a:noFill/>
        <a:ln>
          <a:solidFill>
            <a:srgbClr val="b3b3b3"/>
          </a:solidFill>
        </a:ln>
      </c:spPr>
    </c:plotArea>
    <c:legend>
      <c:legendPos val="r"/>
      <c:overlay val="0"/>
      <c:spPr>
        <a:noFill/>
        <a:ln>
          <a:noFill/>
        </a:ln>
      </c:spPr>
    </c:legend>
    <c:plotVisOnly val="1"/>
  </c:chart>
  <c:spPr>
    <a:noFill/>
    <a:ln>
      <a:noFill/>
    </a:ln>
  </c:spPr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plotArea>
      <c:layout/>
      <c:barChart>
        <c:barDir val="bar"/>
        <c:grouping val="percentStacked"/>
        <c:ser>
          <c:idx val="0"/>
          <c:order val="0"/>
          <c:tx>
            <c:strRef>
              <c:f>label0</c:f>
              <c:strCache>
                <c:ptCount val="1"/>
                <c:pt idx="0">
                  <c:v>Online</c:v>
                </c:pt>
              </c:strCache>
            </c:strRef>
          </c:tx>
          <c:spPr>
            <a:solidFill>
              <a:srgbClr val="5B9BD5"/>
            </a:solidFill>
            <a:ln>
              <a:noFill/>
            </a:ln>
          </c:spPr>
          <c:cat>
            <c:strRef>
              <c:f>cats</c:f>
              <c:strCache>
                <c:ptCount val="6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6"/>
                <c:pt idx="0">
                  <c:v>60</c:v>
                </c:pt>
                <c:pt idx="1">
                  <c:v>65</c:v>
                </c:pt>
                <c:pt idx="2">
                  <c:v>58</c:v>
                </c:pt>
                <c:pt idx="3">
                  <c:v>72</c:v>
                </c:pt>
                <c:pt idx="4">
                  <c:v>68</c:v>
                </c:pt>
                <c:pt idx="5">
                  <c:v>75</c:v>
                </c:pt>
              </c:numCache>
            </c:numRef>
          </c:val>
        </c:ser>
        <c:ser>
          <c:idx val="1"/>
          <c:order val="1"/>
          <c:tx>
            <c:strRef>
              <c:f>label1</c:f>
              <c:strCache>
                <c:ptCount val="1"/>
                <c:pt idx="0">
                  <c:v>In-Store</c:v>
                </c:pt>
              </c:strCache>
            </c:strRef>
          </c:tx>
          <c:spPr>
            <a:solidFill>
              <a:srgbClr val="FFC000"/>
            </a:solidFill>
            <a:ln>
              <a:noFill/>
            </a:ln>
          </c:spPr>
          <c:cat>
            <c:strRef>
              <c:f>cats</c:f>
              <c:strCache>
                <c:ptCount val="6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6"/>
                <c:pt idx="0">
                  <c:v>40</c:v>
                </c:pt>
                <c:pt idx="1">
                  <c:v>35</c:v>
                </c:pt>
                <c:pt idx="2">
                  <c:v>42</c:v>
                </c:pt>
                <c:pt idx="3">
                  <c:v>28</c:v>
                </c:pt>
                <c:pt idx="4">
                  <c:v>32</c:v>
                </c:pt>
                <c:pt idx="5">
                  <c:v>25</c:v>
                </c:pt>
              </c:numCache>
            </c:numRef>
          </c:val>
        </c:ser>
        <c:gapWidth val="80"/>
        <c:overlap val="100"/>
        <c:axId val="100"/>
        <c:axId val="200"/>
      </c:barChart>
      <c:catAx>
        <c:axId val="100"/>
        <c:scaling>
          <c:orientation val="minMax"/>
        </c:scaling>
        <c:delete val="0"/>
        <c:axPos val="l"/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crossAx val="200"/>
        <c:crossesAt val="0"/>
      </c:catAx>
      <c:valAx>
        <c:axId val="200"/>
        <c:scaling>
          <c:orientation val="minMax"/>
        </c:scaling>
        <c:delete val="0"/>
        <c:axPos val="b"/>
        <c:majorGridlines>
          <c:spPr>
            <a:ln>
              <a:solidFill>
                <a:srgbClr val="b3b3b3"/>
              </a:solidFill>
            </a:ln>
          </c:spPr>
        </c:majorGridlines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crossAx val="100"/>
        <c:crossesAt val="0"/>
      </c:valAx>
      <c:spPr>
        <a:noFill/>
        <a:ln>
          <a:solidFill>
            <a:srgbClr val="b3b3b3"/>
          </a:solidFill>
        </a:ln>
      </c:spPr>
    </c:plotArea>
    <c:legend>
      <c:legendPos val="r"/>
      <c:overlay val="0"/>
      <c:spPr>
        <a:noFill/>
        <a:ln>
          <a:noFill/>
        </a:ln>
      </c:spPr>
    </c:legend>
    <c:plotVisOnly val="1"/>
  </c:chart>
  <c:spPr>
    <a:noFill/>
    <a:ln>
      <a:noFill/>
    </a:ln>
  </c:spPr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