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Extreme Data Chart Tests</w:t>
      </w:r>
    </w:p>
    <w:p>
      <w:r>
        <w:t>Chart 1: 50-category bar chart (stress test)</w:t>
      </w:r>
    </w:p>
    <w:p>
      <w:r>
        <w:drawing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        <wp:inline distT="0" distB="0" distL="0" distR="0">
            <wp:extent cx="5943600" cy="2743200"/>
            <wp:effectExtent l="0" t="0" r="0" b="0"/>
            <wp:docPr id="9" name="Chart rId9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r>
        <w:t>Chart 2: Very small values (0.001-0.05 range)</w:t>
      </w:r>
    </w:p>
    <w:p>
      <w:r>
        <w:drawing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        <wp:inline distT="0" distB="0" distL="0" distR="0">
            <wp:extent cx="4572000" cy="2743200"/>
            <wp:effectExtent l="0" t="0" r="0" b="0"/>
            <wp:docPr id="10" name="Chart rId10"/>
            <wp:cNvGraphicFramePr/>
            <a:graphic>
              <a:graphicData uri="http://schemas.openxmlformats.org/drawingml/2006/chart">
                <c:chart r:id="rId10"/>
              </a:graphicData>
            </a:graphic>
          </wp:inline>
        </w:drawing>
      </w:r>
    </w:p>
    <w:p/>
    <w:p>
      <w:r>
        <w:t>Chart 3: Very large values (millions)</w:t>
      </w:r>
    </w:p>
    <w:p>
      <w:r>
        <w:drawing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        <wp:inline distT="0" distB="0" distL="0" distR="0">
            <wp:extent cx="4572000" cy="2743200"/>
            <wp:effectExtent l="0" t="0" r="0" b="0"/>
            <wp:docPr id="11" name="Chart rId11"/>
            <wp:cNvGraphicFramePr/>
            <a:graphic>
              <a:graphicData uri="http://schemas.openxmlformats.org/drawingml/2006/chart">
                <c:chart r:id="rId11"/>
              </a:graphicData>
            </a:graphic>
          </wp:inline>
        </w:drawing>
      </w:r>
    </w:p>
    <w:p/>
    <w:p>
      <w:r>
        <w:t>Chart 4: Mixed range (thousands vs single digits)</w:t>
      </w:r>
    </w:p>
    <w:p>
      <w:r>
        <w:drawing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        <wp:inline distT="0" distB="0" distL="0" distR="0">
            <wp:extent cx="4572000" cy="2743200"/>
            <wp:effectExtent l="0" t="0" r="0" b="0"/>
            <wp:docPr id="12" name="Chart rId12"/>
            <wp:cNvGraphicFramePr/>
            <a:graphic>
              <a:graphicData uri="http://schemas.openxmlformats.org/drawingml/2006/chart">
                <c:chart r:id="rId12"/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chart" Target="charts/chart2.xml"/><Relationship Id="rId11" Type="http://schemas.openxmlformats.org/officeDocument/2006/relationships/chart" Target="charts/chart3.xml"/><Relationship Id="rId12" Type="http://schemas.openxmlformats.org/officeDocument/2006/relationships/chart" Target="charts/chart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plotArea>
      <c:layout/>
      <c:barChart>
        <c:barDir val="col"/>
        <c:grouping val="clustered"/>
        <c:ser>
          <c:idx val="0"/>
          <c:order val="0"/>
          <c:tx>
            <c:strRef>
              <c:f>label0</c:f>
              <c:strCache>
                <c:ptCount val="1"/>
                <c:pt idx="0">
                  <c:v>Population Index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cats</c:f>
              <c:strCache>
                <c:ptCount val="50"/>
                <c:pt idx="0">
                  <c:v>AL</c:v>
                </c:pt>
                <c:pt idx="1">
                  <c:v>AK</c:v>
                </c:pt>
                <c:pt idx="2">
                  <c:v>AZ</c:v>
                </c:pt>
                <c:pt idx="3">
                  <c:v>AR</c:v>
                </c:pt>
                <c:pt idx="4">
                  <c:v>CA</c:v>
                </c:pt>
                <c:pt idx="5">
                  <c:v>CO</c:v>
                </c:pt>
                <c:pt idx="6">
                  <c:v>CT</c:v>
                </c:pt>
                <c:pt idx="7">
                  <c:v>DE</c:v>
                </c:pt>
                <c:pt idx="8">
                  <c:v>FL</c:v>
                </c:pt>
                <c:pt idx="9">
                  <c:v>GA</c:v>
                </c:pt>
                <c:pt idx="10">
                  <c:v>HI</c:v>
                </c:pt>
                <c:pt idx="11">
                  <c:v>ID</c:v>
                </c:pt>
                <c:pt idx="12">
                  <c:v>IL</c:v>
                </c:pt>
                <c:pt idx="13">
                  <c:v>IN</c:v>
                </c:pt>
                <c:pt idx="14">
                  <c:v>IA</c:v>
                </c:pt>
                <c:pt idx="15">
                  <c:v>KS</c:v>
                </c:pt>
                <c:pt idx="16">
                  <c:v>KY</c:v>
                </c:pt>
                <c:pt idx="17">
                  <c:v>LA</c:v>
                </c:pt>
                <c:pt idx="18">
                  <c:v>ME</c:v>
                </c:pt>
                <c:pt idx="19">
                  <c:v>MD</c:v>
                </c:pt>
                <c:pt idx="20">
                  <c:v>MA</c:v>
                </c:pt>
                <c:pt idx="21">
                  <c:v>MI</c:v>
                </c:pt>
                <c:pt idx="22">
                  <c:v>MN</c:v>
                </c:pt>
                <c:pt idx="23">
                  <c:v>MS</c:v>
                </c:pt>
                <c:pt idx="24">
                  <c:v>MO</c:v>
                </c:pt>
                <c:pt idx="25">
                  <c:v>MT</c:v>
                </c:pt>
                <c:pt idx="26">
                  <c:v>NE</c:v>
                </c:pt>
                <c:pt idx="27">
                  <c:v>NV</c:v>
                </c:pt>
                <c:pt idx="28">
                  <c:v>NH</c:v>
                </c:pt>
                <c:pt idx="29">
                  <c:v>NJ</c:v>
                </c:pt>
                <c:pt idx="30">
                  <c:v>NM</c:v>
                </c:pt>
                <c:pt idx="31">
                  <c:v>NY</c:v>
                </c:pt>
                <c:pt idx="32">
                  <c:v>NC</c:v>
                </c:pt>
                <c:pt idx="33">
                  <c:v>ND</c:v>
                </c:pt>
                <c:pt idx="34">
                  <c:v>OH</c:v>
                </c:pt>
                <c:pt idx="35">
                  <c:v>OK</c:v>
                </c:pt>
                <c:pt idx="36">
                  <c:v>OR</c:v>
                </c:pt>
                <c:pt idx="37">
                  <c:v>PA</c:v>
                </c:pt>
                <c:pt idx="38">
                  <c:v>RI</c:v>
                </c:pt>
                <c:pt idx="39">
                  <c:v>SC</c:v>
                </c:pt>
                <c:pt idx="40">
                  <c:v>SD</c:v>
                </c:pt>
                <c:pt idx="41">
                  <c:v>TN</c:v>
                </c:pt>
                <c:pt idx="42">
                  <c:v>TX</c:v>
                </c:pt>
                <c:pt idx="43">
                  <c:v>UT</c:v>
                </c:pt>
                <c:pt idx="44">
                  <c:v>VT</c:v>
                </c:pt>
                <c:pt idx="45">
                  <c:v>VA</c:v>
                </c:pt>
                <c:pt idx="46">
                  <c:v>WA</c:v>
                </c:pt>
                <c:pt idx="47">
                  <c:v>WV</c:v>
                </c:pt>
                <c:pt idx="48">
                  <c:v>WI</c:v>
                </c:pt>
                <c:pt idx="49">
                  <c:v>WY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0"/>
                <c:pt idx="0">
                  <c:v>20.0</c:v>
                </c:pt>
                <c:pt idx="1">
                  <c:v>99.3</c:v>
                </c:pt>
                <c:pt idx="2">
                  <c:v>40.4</c:v>
                </c:pt>
                <c:pt idx="3">
                  <c:v>94.1</c:v>
                </c:pt>
                <c:pt idx="4">
                  <c:v>59.5</c:v>
                </c:pt>
                <c:pt idx="5">
                  <c:v>83.9</c:v>
                </c:pt>
                <c:pt idx="6">
                  <c:v>76.0</c:v>
                </c:pt>
                <c:pt idx="7">
                  <c:v>69.5</c:v>
                </c:pt>
                <c:pt idx="8">
                  <c:v>88.7</c:v>
                </c:pt>
                <c:pt idx="9">
                  <c:v>51.7</c:v>
                </c:pt>
                <c:pt idx="10">
                  <c:v>96.9</c:v>
                </c:pt>
                <c:pt idx="11">
                  <c:v>31.9</c:v>
                </c:pt>
                <c:pt idx="12">
                  <c:v>100.0</c:v>
                </c:pt>
                <c:pt idx="13">
                  <c:v>28.7</c:v>
                </c:pt>
                <c:pt idx="14">
                  <c:v>97.7</c:v>
                </c:pt>
                <c:pt idx="15">
                  <c:v>48.7</c:v>
                </c:pt>
                <c:pt idx="16">
                  <c:v>90.3</c:v>
                </c:pt>
                <c:pt idx="17">
                  <c:v>66.9</c:v>
                </c:pt>
                <c:pt idx="18">
                  <c:v>78.3</c:v>
                </c:pt>
                <c:pt idx="19">
                  <c:v>81.9</c:v>
                </c:pt>
                <c:pt idx="20">
                  <c:v>62.3</c:v>
                </c:pt>
                <c:pt idx="21">
                  <c:v>92.8</c:v>
                </c:pt>
                <c:pt idx="22">
                  <c:v>43.6</c:v>
                </c:pt>
                <c:pt idx="23">
                  <c:v>98.8</c:v>
                </c:pt>
                <c:pt idx="24">
                  <c:v>23.3</c:v>
                </c:pt>
                <c:pt idx="25">
                  <c:v>99.7</c:v>
                </c:pt>
                <c:pt idx="26">
                  <c:v>37.3</c:v>
                </c:pt>
                <c:pt idx="27">
                  <c:v>95.2</c:v>
                </c:pt>
                <c:pt idx="28">
                  <c:v>56.7</c:v>
                </c:pt>
                <c:pt idx="29">
                  <c:v>85.8</c:v>
                </c:pt>
                <c:pt idx="30">
                  <c:v>73.6</c:v>
                </c:pt>
                <c:pt idx="31">
                  <c:v>72.0</c:v>
                </c:pt>
                <c:pt idx="32">
                  <c:v>87.0</c:v>
                </c:pt>
                <c:pt idx="33">
                  <c:v>54.7</c:v>
                </c:pt>
                <c:pt idx="34">
                  <c:v>96.0</c:v>
                </c:pt>
                <c:pt idx="35">
                  <c:v>35.1</c:v>
                </c:pt>
                <c:pt idx="36">
                  <c:v>99.9</c:v>
                </c:pt>
                <c:pt idx="37">
                  <c:v>25.4</c:v>
                </c:pt>
                <c:pt idx="38">
                  <c:v>98.4</c:v>
                </c:pt>
                <c:pt idx="39">
                  <c:v>45.7</c:v>
                </c:pt>
                <c:pt idx="40">
                  <c:v>91.8</c:v>
                </c:pt>
                <c:pt idx="41">
                  <c:v>64.2</c:v>
                </c:pt>
                <c:pt idx="42">
                  <c:v>80.5</c:v>
                </c:pt>
                <c:pt idx="43">
                  <c:v>79.8</c:v>
                </c:pt>
                <c:pt idx="44">
                  <c:v>65.1</c:v>
                </c:pt>
                <c:pt idx="45">
                  <c:v>91.4</c:v>
                </c:pt>
                <c:pt idx="46">
                  <c:v>46.7</c:v>
                </c:pt>
                <c:pt idx="47">
                  <c:v>98.2</c:v>
                </c:pt>
                <c:pt idx="48">
                  <c:v>26.5</c:v>
                </c:pt>
                <c:pt idx="49">
                  <c:v>99.9</c:v>
                </c:pt>
              </c:numCache>
            </c:numRef>
          </c:val>
        </c:ser>
        <c:gapWidth val="50"/>
        <c:axId val="100"/>
        <c:axId val="200"/>
      </c:barChart>
      <c:catAx>
        <c:axId val="10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200"/>
        <c:crossesAt val="0"/>
      </c:catAx>
      <c:valAx>
        <c:axId val="200"/>
        <c:scaling>
          <c:orientation val="minMax"/>
        </c:scaling>
        <c:delete val="0"/>
        <c:axPos val="l"/>
        <c:majorGridlines>
          <c:spPr>
            <a:ln>
              <a:solidFill>
                <a:srgbClr val="b3b3b3"/>
              </a:solidFill>
            </a:ln>
          </c:spPr>
        </c:majorGridlines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100"/>
        <c:crossesAt val="0"/>
      </c:valAx>
      <c:spPr>
        <a:noFill/>
        <a:ln>
          <a:solidFill>
            <a:srgbClr val="b3b3b3"/>
          </a:solidFill>
        </a:ln>
      </c:spPr>
    </c:plotArea>
    <c:plotVisOnly val="1"/>
  </c:chart>
  <c:spPr>
    <a:noFill/>
    <a:ln>
      <a:noFill/>
    </a:ln>
  </c:sp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plotArea>
      <c:layout/>
      <c:lineChart>
        <c:grouping val="standard"/>
        <c:ser>
          <c:idx val="0"/>
          <c:order val="0"/>
          <c:tx>
            <c:strRef>
              <c:f>label0</c:f>
              <c:strCache>
                <c:ptCount val="1"/>
                <c:pt idx="0">
                  <c:v>Measurement A</c:v>
                </c:pt>
              </c:strCache>
            </c:strRef>
          </c:tx>
          <c:spPr>
            <a:ln w="19050">
              <a:solidFill>
                <a:srgbClr val="4472C4"/>
              </a:solidFill>
            </a:ln>
          </c:spPr>
          <c:marker>
            <c:symbol val="circle"/>
            <c:size val="5"/>
            <c:spPr>
              <a:solidFill>
                <a:srgbClr val="4472C4"/>
              </a:solidFill>
            </c:spPr>
          </c:marker>
          <c:cat>
            <c:strRef>
              <c:f>cats</c:f>
              <c:strCache>
                <c:ptCount val="12"/>
                <c:pt idx="0">
                  <c:v>Day 1</c:v>
                </c:pt>
                <c:pt idx="1">
                  <c:v>Day 2</c:v>
                </c:pt>
                <c:pt idx="2">
                  <c:v>Day 3</c:v>
                </c:pt>
                <c:pt idx="3">
                  <c:v>Day 4</c:v>
                </c:pt>
                <c:pt idx="4">
                  <c:v>Day 5</c:v>
                </c:pt>
                <c:pt idx="5">
                  <c:v>Day 6</c:v>
                </c:pt>
                <c:pt idx="6">
                  <c:v>Day 7</c:v>
                </c:pt>
                <c:pt idx="7">
                  <c:v>Day 8</c:v>
                </c:pt>
                <c:pt idx="8">
                  <c:v>Day 9</c:v>
                </c:pt>
                <c:pt idx="9">
                  <c:v>Day 10</c:v>
                </c:pt>
                <c:pt idx="10">
                  <c:v>Day 11</c:v>
                </c:pt>
                <c:pt idx="11">
                  <c:v>Day 12</c:v>
                </c:pt>
              </c:strCache>
            </c:strRef>
          </c:cat>
          <c:val>
            <c:numRef>
              <c:f>0</c:f>
              <c:numCache>
                <c:formatCode>0.0000</c:formatCode>
                <c:ptCount val="12"/>
                <c:pt idx="0">
                  <c:v>0.003</c:v>
                </c:pt>
                <c:pt idx="1">
                  <c:v>0.0044</c:v>
                </c:pt>
                <c:pt idx="2">
                  <c:v>0.005</c:v>
                </c:pt>
                <c:pt idx="3">
                  <c:v>0.0044</c:v>
                </c:pt>
                <c:pt idx="4">
                  <c:v>0.0029</c:v>
                </c:pt>
                <c:pt idx="5">
                  <c:v>0.0015</c:v>
                </c:pt>
                <c:pt idx="6">
                  <c:v>0.001</c:v>
                </c:pt>
                <c:pt idx="7">
                  <c:v>0.0017</c:v>
                </c:pt>
                <c:pt idx="8">
                  <c:v>0.0032</c:v>
                </c:pt>
                <c:pt idx="9">
                  <c:v>0.0046</c:v>
                </c:pt>
                <c:pt idx="10">
                  <c:v>0.005</c:v>
                </c:pt>
                <c:pt idx="11">
                  <c:v>0.0042</c:v>
                </c:pt>
              </c:numCache>
            </c:numRef>
          </c:val>
        </c:ser>
        <c:ser>
          <c:idx val="1"/>
          <c:order val="1"/>
          <c:tx>
            <c:strRef>
              <c:f>label1</c:f>
              <c:strCache>
                <c:ptCount val="1"/>
                <c:pt idx="0">
                  <c:v>Measurement B</c:v>
                </c:pt>
              </c:strCache>
            </c:strRef>
          </c:tx>
          <c:spPr>
            <a:ln w="19050">
              <a:solidFill>
                <a:srgbClr val="ED7D31"/>
              </a:solidFill>
            </a:ln>
          </c:spPr>
          <c:marker>
            <c:symbol val="circle"/>
            <c:size val="5"/>
            <c:spPr>
              <a:solidFill>
                <a:srgbClr val="ED7D31"/>
              </a:solidFill>
            </c:spPr>
          </c:marker>
          <c:cat>
            <c:strRef>
              <c:f>cats</c:f>
              <c:strCache>
                <c:ptCount val="12"/>
                <c:pt idx="0">
                  <c:v>Day 1</c:v>
                </c:pt>
                <c:pt idx="1">
                  <c:v>Day 2</c:v>
                </c:pt>
                <c:pt idx="2">
                  <c:v>Day 3</c:v>
                </c:pt>
                <c:pt idx="3">
                  <c:v>Day 4</c:v>
                </c:pt>
                <c:pt idx="4">
                  <c:v>Day 5</c:v>
                </c:pt>
                <c:pt idx="5">
                  <c:v>Day 6</c:v>
                </c:pt>
                <c:pt idx="6">
                  <c:v>Day 7</c:v>
                </c:pt>
                <c:pt idx="7">
                  <c:v>Day 8</c:v>
                </c:pt>
                <c:pt idx="8">
                  <c:v>Day 9</c:v>
                </c:pt>
                <c:pt idx="9">
                  <c:v>Day 10</c:v>
                </c:pt>
                <c:pt idx="10">
                  <c:v>Day 11</c:v>
                </c:pt>
                <c:pt idx="11">
                  <c:v>Day 12</c:v>
                </c:pt>
              </c:strCache>
            </c:strRef>
          </c:cat>
          <c:val>
            <c:numRef>
              <c:f>1</c:f>
              <c:numCache>
                <c:formatCode>0.0000</c:formatCode>
                <c:ptCount val="12"/>
                <c:pt idx="0">
                  <c:v>0.025</c:v>
                </c:pt>
                <c:pt idx="1">
                  <c:v>0.0233</c:v>
                </c:pt>
                <c:pt idx="2">
                  <c:v>0.0186</c:v>
                </c:pt>
                <c:pt idx="3">
                  <c:v>0.0127</c:v>
                </c:pt>
                <c:pt idx="4">
                  <c:v>0.0076</c:v>
                </c:pt>
                <c:pt idx="5">
                  <c:v>0.0051</c:v>
                </c:pt>
                <c:pt idx="6">
                  <c:v>0.006</c:v>
                </c:pt>
                <c:pt idx="7">
                  <c:v>0.0101</c:v>
                </c:pt>
                <c:pt idx="8">
                  <c:v>0.0159</c:v>
                </c:pt>
                <c:pt idx="9">
                  <c:v>0.0213</c:v>
                </c:pt>
                <c:pt idx="10">
                  <c:v>0.0246</c:v>
                </c:pt>
                <c:pt idx="11">
                  <c:v>0.0245</c:v>
                </c:pt>
              </c:numCache>
            </c:numRef>
          </c:val>
        </c:ser>
        <c:axId val="100"/>
        <c:axId val="200"/>
      </c:lineChart>
      <c:catAx>
        <c:axId val="10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200"/>
        <c:crossesAt val="0"/>
      </c:catAx>
      <c:valAx>
        <c:axId val="200"/>
        <c:scaling>
          <c:orientation val="minMax"/>
        </c:scaling>
        <c:delete val="0"/>
        <c:axPos val="l"/>
        <c:majorGridlines>
          <c:spPr>
            <a:ln>
              <a:solidFill>
                <a:srgbClr val="b3b3b3"/>
              </a:solidFill>
            </a:ln>
          </c:spPr>
        </c:majorGridlines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100"/>
        <c:crossesAt val="0"/>
      </c:valAx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</c:legend>
    <c:plotVisOnly val="1"/>
  </c:chart>
  <c:spPr>
    <a:noFill/>
    <a:ln>
      <a:noFill/>
    </a:ln>
  </c:sp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plotArea>
      <c:layout/>
      <c:barChart>
        <c:barDir val="col"/>
        <c:grouping val="clustered"/>
        <c:ser>
          <c:idx val="0"/>
          <c:order val="0"/>
          <c:tx>
            <c:strRef>
              <c:f>label0</c:f>
              <c:strCache>
                <c:ptCount val="1"/>
                <c:pt idx="0">
                  <c:v>Revenue ($)</c:v>
                </c:pt>
              </c:strCache>
            </c:strRef>
          </c:tx>
          <c:spPr>
            <a:solidFill>
              <a:srgbClr val="2E75B6"/>
            </a:solidFill>
            <a:ln>
              <a:noFill/>
            </a:ln>
          </c:spPr>
          <c:cat>
            <c:strRef>
              <c:f>cats</c:f>
              <c:strCache>
                <c:ptCount val="8"/>
                <c:pt idx="0">
                  <c:v>Region A</c:v>
                </c:pt>
                <c:pt idx="1">
                  <c:v>Region B</c:v>
                </c:pt>
                <c:pt idx="2">
                  <c:v>Region C</c:v>
                </c:pt>
                <c:pt idx="3">
                  <c:v>Region D</c:v>
                </c:pt>
                <c:pt idx="4">
                  <c:v>Region E</c:v>
                </c:pt>
                <c:pt idx="5">
                  <c:v>Region F</c:v>
                </c:pt>
                <c:pt idx="6">
                  <c:v>Region G</c:v>
                </c:pt>
                <c:pt idx="7">
                  <c:v>Region H</c:v>
                </c:pt>
              </c:strCache>
            </c:strRef>
          </c:cat>
          <c:val>
            <c:numRef>
              <c:f>0</c:f>
              <c:numCache>
                <c:formatCode>#,##0</c:formatCode>
                <c:ptCount val="8"/>
                <c:pt idx="0">
                  <c:v>12500000</c:v>
                </c:pt>
                <c:pt idx="1">
                  <c:v>8300000</c:v>
                </c:pt>
                <c:pt idx="2">
                  <c:v>15700000</c:v>
                </c:pt>
                <c:pt idx="3">
                  <c:v>6200000</c:v>
                </c:pt>
                <c:pt idx="4">
                  <c:v>22100000</c:v>
                </c:pt>
                <c:pt idx="5">
                  <c:v>9800000</c:v>
                </c:pt>
                <c:pt idx="6">
                  <c:v>11400000</c:v>
                </c:pt>
                <c:pt idx="7">
                  <c:v>18600000</c:v>
                </c:pt>
              </c:numCache>
            </c:numRef>
          </c:val>
        </c:ser>
        <c:gapWidth val="100"/>
        <c:axId val="100"/>
        <c:axId val="200"/>
      </c:barChart>
      <c:catAx>
        <c:axId val="10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200"/>
        <c:crossesAt val="0"/>
      </c:catAx>
      <c:valAx>
        <c:axId val="200"/>
        <c:scaling>
          <c:orientation val="minMax"/>
        </c:scaling>
        <c:delete val="0"/>
        <c:axPos val="l"/>
        <c:majorGridlines>
          <c:spPr>
            <a:ln>
              <a:solidFill>
                <a:srgbClr val="b3b3b3"/>
              </a:solidFill>
            </a:ln>
          </c:spPr>
        </c:majorGridlines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100"/>
        <c:crossesAt val="0"/>
      </c:valAx>
      <c:spPr>
        <a:noFill/>
        <a:ln>
          <a:solidFill>
            <a:srgbClr val="b3b3b3"/>
          </a:solidFill>
        </a:ln>
      </c:spPr>
    </c:plotArea>
    <c:plotVisOnly val="1"/>
  </c:chart>
  <c:spPr>
    <a:noFill/>
    <a:ln>
      <a:noFill/>
    </a:ln>
  </c:spPr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plotArea>
      <c:layout/>
      <c:barChart>
        <c:barDir val="col"/>
        <c:grouping val="clustered"/>
        <c:ser>
          <c:idx val="0"/>
          <c:order val="0"/>
          <c:tx>
            <c:strRef>
              <c:f>label0</c:f>
              <c:strCache>
                <c:ptCount val="1"/>
                <c:pt idx="0">
                  <c:v>Revenue ($K)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cats</c:f>
              <c:strCache>
                <c:ptCount val="6"/>
                <c:pt idx="0">
                  <c:v>Product A</c:v>
                </c:pt>
                <c:pt idx="1">
                  <c:v>Product B</c:v>
                </c:pt>
                <c:pt idx="2">
                  <c:v>Product C</c:v>
                </c:pt>
                <c:pt idx="3">
                  <c:v>Product D</c:v>
                </c:pt>
                <c:pt idx="4">
                  <c:v>Product E</c:v>
                </c:pt>
                <c:pt idx="5">
                  <c:v>Product F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6"/>
                <c:pt idx="0">
                  <c:v>4500</c:v>
                </c:pt>
                <c:pt idx="1">
                  <c:v>3200</c:v>
                </c:pt>
                <c:pt idx="2">
                  <c:v>5800</c:v>
                </c:pt>
                <c:pt idx="3">
                  <c:v>2100</c:v>
                </c:pt>
                <c:pt idx="4">
                  <c:v>6700</c:v>
                </c:pt>
                <c:pt idx="5">
                  <c:v>3900</c:v>
                </c:pt>
              </c:numCache>
            </c:numRef>
          </c:val>
        </c:ser>
        <c:ser>
          <c:idx val="1"/>
          <c:order val="1"/>
          <c:tx>
            <c:strRef>
              <c:f>label1</c:f>
              <c:strCache>
                <c:ptCount val="1"/>
                <c:pt idx="0">
                  <c:v>Rating (1-5)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cats</c:f>
              <c:strCache>
                <c:ptCount val="6"/>
                <c:pt idx="0">
                  <c:v>Product A</c:v>
                </c:pt>
                <c:pt idx="1">
                  <c:v>Product B</c:v>
                </c:pt>
                <c:pt idx="2">
                  <c:v>Product C</c:v>
                </c:pt>
                <c:pt idx="3">
                  <c:v>Product D</c:v>
                </c:pt>
                <c:pt idx="4">
                  <c:v>Product E</c:v>
                </c:pt>
                <c:pt idx="5">
                  <c:v>Product F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6"/>
                <c:pt idx="0">
                  <c:v>4.2</c:v>
                </c:pt>
                <c:pt idx="1">
                  <c:v>3.8</c:v>
                </c:pt>
                <c:pt idx="2">
                  <c:v>4.7</c:v>
                </c:pt>
                <c:pt idx="3">
                  <c:v>3.1</c:v>
                </c:pt>
                <c:pt idx="4">
                  <c:v>4.9</c:v>
                </c:pt>
                <c:pt idx="5">
                  <c:v>4.0</c:v>
                </c:pt>
              </c:numCache>
            </c:numRef>
          </c:val>
        </c:ser>
        <c:gapWidth val="100"/>
        <c:axId val="100"/>
        <c:axId val="200"/>
      </c:barChart>
      <c:catAx>
        <c:axId val="10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200"/>
        <c:crossesAt val="0"/>
      </c:catAx>
      <c:valAx>
        <c:axId val="200"/>
        <c:scaling>
          <c:orientation val="minMax"/>
        </c:scaling>
        <c:delete val="0"/>
        <c:axPos val="l"/>
        <c:majorGridlines>
          <c:spPr>
            <a:ln>
              <a:solidFill>
                <a:srgbClr val="b3b3b3"/>
              </a:solidFill>
            </a:ln>
          </c:spPr>
        </c:majorGridlines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100"/>
        <c:crossesAt val="0"/>
      </c:valAx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</c:legend>
    <c:plotVisOnly val="1"/>
  </c:chart>
  <c:spPr>
    <a:noFill/>
    <a:ln>
      <a:noFill/>
    </a:ln>
  </c:sp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