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Chart Test Cases</w:t>
      </w:r>
    </w:p>
    <w:p>
      <w:r>
        <w:t>Chart 1: Vertical clustered bar chart (3 series, 4 categories)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9" name="Chart rId9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r>
        <w:t>Chart 2: Horizontal bar chart (2 series, 5 categories)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5486400" cy="2743200"/>
            <wp:effectExtent l="0" t="0" r="0" b="0"/>
            <wp:docPr id="10" name="Chart rId10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r>
        <w:t>Chart 3: Single series vertical bar, no legend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286000"/>
            <wp:effectExtent l="0" t="0" r="0" b="0"/>
            <wp:docPr id="11" name="Chart rId11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/>
    <w:p>
      <w:r>
        <w:t>Chart 4: Large values (thousands), 2 series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12" name="Chart rId12"/>
            <wp:cNvGraphicFramePr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label0</c:f>
              <c:strCache>
                <c:ptCount val="1"/>
                <c:pt idx="0">
                  <c:v>Revenue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12.5</c:v>
                </c:pt>
                <c:pt idx="1">
                  <c:v>18.3</c:v>
                </c:pt>
                <c:pt idx="2">
                  <c:v>15.7</c:v>
                </c:pt>
                <c:pt idx="3">
                  <c:v>22.1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Expenses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10.2</c:v>
                </c:pt>
                <c:pt idx="1">
                  <c:v>14.8</c:v>
                </c:pt>
                <c:pt idx="2">
                  <c:v>13.1</c:v>
                </c:pt>
                <c:pt idx="3">
                  <c:v>16.5</c:v>
                </c:pt>
              </c:numCache>
            </c:numRef>
          </c:val>
        </c:ser>
        <c:ser>
          <c:idx val="2"/>
          <c:order val="2"/>
          <c:tx>
            <c:strRef>
              <c:f>label2</c:f>
              <c:strCache>
                <c:ptCount val="1"/>
                <c:pt idx="0">
                  <c:v>Profit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2.3</c:v>
                </c:pt>
                <c:pt idx="1">
                  <c:v>3.5</c:v>
                </c:pt>
                <c:pt idx="2">
                  <c:v>2.6</c:v>
                </c:pt>
                <c:pt idx="3">
                  <c:v>5.6</c:v>
                </c:pt>
              </c:numCache>
            </c:numRef>
          </c:val>
        </c:ser>
        <c:gapWidth val="100"/>
        <c:axId val="100"/>
        <c:axId val="200"/>
      </c:bar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bar"/>
        <c:grouping val="clustered"/>
        <c:ser>
          <c:idx val="0"/>
          <c:order val="0"/>
          <c:tx>
            <c:strRef>
              <c:f>label0</c:f>
              <c:strCache>
                <c:ptCount val="1"/>
                <c:pt idx="0">
                  <c:v>2024</c:v>
                </c:pt>
              </c:strCache>
            </c:strRef>
          </c:tx>
          <c:spPr>
            <a:solidFill>
              <a:srgbClr val="2E75B6"/>
            </a:solidFill>
            <a:ln>
              <a:noFill/>
            </a:ln>
          </c:spPr>
          <c:cat>
            <c:strRef>
              <c:f>cats</c:f>
              <c:strCache>
                <c:ptCount val="5"/>
                <c:pt idx="0">
                  <c:v>Engineering</c:v>
                </c:pt>
                <c:pt idx="1">
                  <c:v>Marketing</c:v>
                </c:pt>
                <c:pt idx="2">
                  <c:v>Sales</c:v>
                </c:pt>
                <c:pt idx="3">
                  <c:v>Support</c:v>
                </c:pt>
                <c:pt idx="4">
                  <c:v>Admin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45</c:v>
                </c:pt>
                <c:pt idx="1">
                  <c:v>22</c:v>
                </c:pt>
                <c:pt idx="2">
                  <c:v>38</c:v>
                </c:pt>
                <c:pt idx="3">
                  <c:v>15</c:v>
                </c:pt>
                <c:pt idx="4">
                  <c:v>12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BF504D"/>
            </a:solidFill>
            <a:ln>
              <a:noFill/>
            </a:ln>
          </c:spPr>
          <c:cat>
            <c:strRef>
              <c:f>cats</c:f>
              <c:strCache>
                <c:ptCount val="5"/>
                <c:pt idx="0">
                  <c:v>Engineering</c:v>
                </c:pt>
                <c:pt idx="1">
                  <c:v>Marketing</c:v>
                </c:pt>
                <c:pt idx="2">
                  <c:v>Sales</c:v>
                </c:pt>
                <c:pt idx="3">
                  <c:v>Support</c:v>
                </c:pt>
                <c:pt idx="4">
                  <c:v>Admin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52</c:v>
                </c:pt>
                <c:pt idx="1">
                  <c:v>28</c:v>
                </c:pt>
                <c:pt idx="2">
                  <c:v>41</c:v>
                </c:pt>
                <c:pt idx="3">
                  <c:v>18</c:v>
                </c:pt>
                <c:pt idx="4">
                  <c:v>14</c:v>
                </c:pt>
              </c:numCache>
            </c:numRef>
          </c:val>
        </c:ser>
        <c:gapWidth val="80"/>
        <c:axId val="100"/>
        <c:axId val="200"/>
      </c:barChart>
      <c:catAx>
        <c:axId val="100"/>
        <c:scaling>
          <c:orientation val="minMax"/>
        </c:scaling>
        <c:delete val="0"/>
        <c:axPos val="l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b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b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label0</c:f>
              <c:strCache>
                <c:ptCount val="1"/>
                <c:pt idx="0">
                  <c:v>Visitors</c:v>
                </c:pt>
              </c:strCache>
            </c:strRef>
          </c:tx>
          <c:spPr>
            <a:solidFill>
              <a:srgbClr val="548235"/>
            </a:solidFill>
            <a:ln>
              <a:noFill/>
            </a:ln>
          </c:spPr>
          <c:cat>
            <c:strRef>
              <c:f>cats</c:f>
              <c:strCache>
                <c:ptCount val="5"/>
                <c:pt idx="0">
                  <c:v>Mon</c:v>
                </c:pt>
                <c:pt idx="1">
                  <c:v>Tue</c:v>
                </c:pt>
                <c:pt idx="2">
                  <c:v>Wed</c:v>
                </c:pt>
                <c:pt idx="3">
                  <c:v>Thu</c:v>
                </c:pt>
                <c:pt idx="4">
                  <c:v>Fri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340</c:v>
                </c:pt>
                <c:pt idx="1">
                  <c:v>520</c:v>
                </c:pt>
                <c:pt idx="2">
                  <c:v>480</c:v>
                </c:pt>
                <c:pt idx="3">
                  <c:v>610</c:v>
                </c:pt>
                <c:pt idx="4">
                  <c:v>390</c:v>
                </c:pt>
              </c:numCache>
            </c:numRef>
          </c:val>
        </c:ser>
        <c:gapWidth val="150"/>
        <c:axId val="100"/>
        <c:axId val="200"/>
      </c:bar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label0</c:f>
              <c:strCache>
                <c:ptCount val="1"/>
                <c:pt idx="0">
                  <c:v>Budget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4500</c:v>
                </c:pt>
                <c:pt idx="1">
                  <c:v>3200</c:v>
                </c:pt>
                <c:pt idx="2">
                  <c:v>5100</c:v>
                </c:pt>
                <c:pt idx="3">
                  <c:v>2800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Actual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4200</c:v>
                </c:pt>
                <c:pt idx="1">
                  <c:v>3800</c:v>
                </c:pt>
                <c:pt idx="2">
                  <c:v>4700</c:v>
                </c:pt>
                <c:pt idx="3">
                  <c:v>3100</c:v>
                </c:pt>
              </c:numCache>
            </c:numRef>
          </c:val>
        </c:ser>
        <c:gapWidth val="100"/>
        <c:axId val="100"/>
        <c:axId val="200"/>
      </c:bar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