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Two-Column Layout</w:t>
      </w:r>
    </w:p>
    <w:p>
      <w:r>
        <w:t>This is the first column of text. It demonstrates a basic two-column layout where text flows naturally from the first column to the second column when the first column is full.</w:t>
      </w:r>
    </w:p>
    <w:p>
      <w:r>
        <w:t>Additional content in the first column. This paragraph adds more text to show that the column break works correctly and text appears in the right column.</w:t>
      </w:r>
    </w:p>
    <w:p>
      <w:r>
        <w:br w:type="column"/>
      </w:r>
    </w:p>
    <w:p>
      <w:r>
        <w:t>This text should appear in the second column after the explicit column break. Column breaks force remaining content to the next column.</w:t>
      </w:r>
    </w:p>
    <w:p>
      <w:r>
        <w:t>Final paragraph in the second column. This verifies that text positioning is correct in the right column.</w:t>
      </w:r>
    </w:p>
    <w:sectPr w:rsidR="00FC693F" w:rsidRPr="0006063C" w:rsidSect="00034616">
      <w:pgSz w:w="12240" w:h="15840"/>
      <w:pgMar w:top="1440" w:right="1440" w:bottom="1440" w:left="1440" w:header="720" w:footer="720" w:gutter="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