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  <w:ind w:firstLine="0" w:firstLineChars="0" w:hanging="0" w:hangingChars="0" w:left="283" w:leftChars="0"/>
        <w:jc w:val="center"/>
      </w:pPr>
      <w:r>
        <w:t xml:space="preserve">Centered list paragraph.</w:t>
      </w:r>
    </w:p>
    <w:p>
      <w:pPr>
        <w:numPr>
          <w:ilvl w:val="0"/>
          <w:numId w:val="1"/>
        </w:numPr>
        <w:ind w:firstLine="0" w:firstLineChars="0" w:hanging="0" w:hangingChars="0" w:left="283" w:leftChars="0"/>
        <w:jc w:val="left"/>
      </w:pPr>
      <w:r>
        <w:t xml:space="preserve">Left-aligned control.</w:t>
      </w:r>
    </w:p>
    <w:sectPr>
      <w:pgSz w:w="12240" w:h="15840"/>
      <w:pgMar w:top="1440" w:right="1440" w:bottom="1440" w:left="1440" w:header="480" w:footer="4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exact"/>
    </w:pPr>
    <w:rPr>
      <w:rFonts w:ascii="Times New Roman" w:hAnsi="Times New Roman" w:eastAsia="SimSun"/>
      <w:sz w:val="24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