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Hyphenation Test</w:t>
      </w:r>
    </w:p>
    <w:p>
      <w:pPr>
        <w:jc w:val="both"/>
      </w:pPr>
      <w:r>
        <w:rPr>
          <w:rFonts w:ascii="Times New Roman" w:hAnsi="Times New Roman"/>
          <w:sz w:val="24"/>
        </w:rPr>
        <w:t>The concept of antidisestablishmentarianism has been discussed extensively in philosophical and political literature. Similarly, the word supercalifragilisticexpialidocious has captured the imagination of generations. Modern electroencephalographically monitored studies have shown that incomprehensibilities arise from miscommunication. The characteristically disproportionate representation of psychopharmacological interventions demonstrates the unconstitutionality of such practices.</w:t>
      </w:r>
    </w:p>
    <w:p>
      <w:pPr>
        <w:jc w:val="both"/>
      </w:pPr>
      <w:r>
        <w:rPr>
          <w:rFonts w:ascii="Times New Roman" w:hAnsi="Times New Roman"/>
          <w:sz w:val="24"/>
        </w:rPr>
        <w:t>Professional documentation requires careful consideration of typographical conventions. Hyphenation improves the visual appearance of justified text by reducing excessive inter-word spacing. Without hyphenation, lines with long words may have uncomfortably large gaps between words, or words may overflow the right margin. This is particularly noticeable in narrow columns.</w:t>
      </w:r>
    </w:p>
    <w:p>
      <w:pPr>
        <w:suppressAutoHyphens/>
        <w:jc w:val="both"/>
      </w:pPr>
      <w:r>
        <w:rPr>
          <w:rFonts w:ascii="Times New Roman" w:hAnsi="Times New Roman"/>
          <w:sz w:val="24"/>
        </w:rPr>
        <w:t>This paragraph has automatic hyphenation suppressed. The word internationalization should not be hyphenated here even though it would benefit from breaking. Compare the inter-word spacing with the paragraphs above to see the difference that hyphenation makes in justified text.</w:t>
      </w:r>
    </w:p>
    <w:p>
      <w:pPr>
        <w:jc w:val="both"/>
      </w:pPr>
      <w:r>
        <w:rPr>
          <w:rFonts w:ascii="Times New Roman" w:hAnsi="Times New Roman"/>
          <w:sz w:val="24"/>
          <w:lang w:val="de-DE"/>
        </w:rPr>
        <w:t>Die Donaudampfschifffahrtsgesellschaftskapitaenswitwe ging zum Rindfleischetikettierungsueberwachungsaufgabenuebertragungsgesetz. Die Geschwindigkeitsbeschraenkung auf der Bundesautobahn wurde aufgrund von Verkehrssicherheitsbedenken eingefuehrt.</w:t>
      </w:r>
    </w:p>
    <w:sectPr w:rsidR="00FC693F" w:rsidRPr="0006063C" w:rsidSect="00034616">
      <w:pgSz w:w="12240" w:h="15840"/>
      <w:pgMar w:top="1440" w:right="2520" w:bottom="1440" w:left="25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