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Scatter, Doughnut, Radar, and Bubble Charts</w:t>
      </w:r>
    </w:p>
    <w:p>
      <w:r>
        <w:t>Chart 1: Scatter chart showing test scores vs study hours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743200"/>
            <wp:effectExtent l="0" t="0" r="0" b="0"/>
            <wp:docPr id="9" name="Chart rId9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r>
        <w:t>Chart 2: Doughnut chart showing budget allocation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743200"/>
            <wp:effectExtent l="0" t="0" r="0" b="0"/>
            <wp:docPr id="10" name="Chart rId10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r>
        <w:t>Chart 3: Radar chart comparing product features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743200"/>
            <wp:effectExtent l="0" t="0" r="0" b="0"/>
            <wp:docPr id="11" name="Chart rId11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/>
    <w:p>
      <w:r>
        <w:t>Chart 4: Bubble chart showing sales by region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5486400" cy="2743200"/>
            <wp:effectExtent l="0" t="0" r="0" b="0"/>
            <wp:docPr id="12" name="Chart rId12"/>
            <wp:cNvGraphicFramePr/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scatterChart>
        <c:scatterStyle val="lineMarker"/>
        <c:ser>
          <c:idx val="0"/>
          <c:order val="0"/>
          <c:tx>
            <c:strRef>
              <c:f>label0</c:f>
              <c:strCache>
                <c:ptCount val="1"/>
                <c:pt idx="0">
                  <c:v>Class A</c:v>
                </c:pt>
              </c:strCache>
            </c:strRef>
          </c:tx>
          <c:spPr>
            <a:noFill/>
            <a:ln>
              <a:noFill/>
            </a:ln>
          </c:spPr>
          <c:marker>
            <c:symbol val="circle"/>
            <c:size val="5"/>
            <c:spPr>
              <a:solidFill>
                <a:srgbClr val="4472C4"/>
              </a:solidFill>
              <a:ln>
                <a:solidFill>
                  <a:srgbClr val="4472C4"/>
                </a:solidFill>
              </a:ln>
            </c:spPr>
          </c:marker>
          <c:xVal>
            <c:numRef>
              <c:f>x0</c:f>
              <c:numCache>
                <c:formatCode>General</c:formatCode>
                <c:ptCount val="6"/>
                <c:pt idx="0">
                  <c:v>2</c:v>
                </c:pt>
                <c:pt idx="1">
                  <c:v>4</c:v>
                </c:pt>
                <c:pt idx="2">
                  <c:v>5</c:v>
                </c:pt>
                <c:pt idx="3">
                  <c:v>7</c:v>
                </c:pt>
                <c:pt idx="4">
                  <c:v>8</c:v>
                </c:pt>
                <c:pt idx="5">
                  <c:v>9</c:v>
                </c:pt>
              </c:numCache>
            </c:numRef>
          </c:xVal>
          <c:yVal>
            <c:numRef>
              <c:f>y0</c:f>
              <c:numCache>
                <c:formatCode>General</c:formatCode>
                <c:ptCount val="6"/>
                <c:pt idx="0">
                  <c:v>55</c:v>
                </c:pt>
                <c:pt idx="1">
                  <c:v>65</c:v>
                </c:pt>
                <c:pt idx="2">
                  <c:v>72</c:v>
                </c:pt>
                <c:pt idx="3">
                  <c:v>80</c:v>
                </c:pt>
                <c:pt idx="4">
                  <c:v>88</c:v>
                </c:pt>
                <c:pt idx="5">
                  <c:v>92</c:v>
                </c:pt>
              </c:numCache>
            </c:numRef>
          </c:y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Class B</c:v>
                </c:pt>
              </c:strCache>
            </c:strRef>
          </c:tx>
          <c:spPr>
            <a:noFill/>
            <a:ln>
              <a:noFill/>
            </a:ln>
          </c:spPr>
          <c:marker>
            <c:symbol val="circle"/>
            <c:size val="5"/>
            <c:spPr>
              <a:solidFill>
                <a:srgbClr val="ED7D31"/>
              </a:solidFill>
              <a:ln>
                <a:solidFill>
                  <a:srgbClr val="ED7D31"/>
                </a:solidFill>
              </a:ln>
            </c:spPr>
          </c:marker>
          <c:xVal>
            <c:numRef>
              <c:f>x1</c:f>
              <c:numCache>
                <c:formatCode>General</c:formatCode>
                <c:ptCount val="6"/>
                <c:pt idx="0">
                  <c:v>1</c:v>
                </c:pt>
                <c:pt idx="1">
                  <c:v>3</c:v>
                </c:pt>
                <c:pt idx="2">
                  <c:v>5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</c:numCache>
            </c:numRef>
          </c:xVal>
          <c:yVal>
            <c:numRef>
              <c:f>y1</c:f>
              <c:numCache>
                <c:formatCode>General</c:formatCode>
                <c:ptCount val="6"/>
                <c:pt idx="0">
                  <c:v>40</c:v>
                </c:pt>
                <c:pt idx="1">
                  <c:v>58</c:v>
                </c:pt>
                <c:pt idx="2">
                  <c:v>68</c:v>
                </c:pt>
                <c:pt idx="3">
                  <c:v>75</c:v>
                </c:pt>
                <c:pt idx="4">
                  <c:v>82</c:v>
                </c:pt>
                <c:pt idx="5">
                  <c:v>95</c:v>
                </c:pt>
              </c:numCache>
            </c:numRef>
          </c:yVal>
        </c:ser>
        <c:axId val="100"/>
        <c:axId val="200"/>
      </c:scatterChart>
      <c:val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val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doughnutChart>
        <c:varyColors val="1"/>
        <c:ser>
          <c:idx val="0"/>
          <c:order val="0"/>
          <c:tx>
            <c:strRef>
              <c:f>label</c:f>
              <c:strCache>
                <c:ptCount val="1"/>
                <c:pt idx="0">
                  <c:v>Budget</c:v>
                </c:pt>
              </c:strCache>
            </c:strRef>
          </c:tx>
          <c:cat>
            <c:strRef>
              <c:f>cats</c:f>
              <c:strCache>
                <c:ptCount val="5"/>
                <c:pt idx="0">
                  <c:v>Marketing</c:v>
                </c:pt>
                <c:pt idx="1">
                  <c:v>Engineering</c:v>
                </c:pt>
                <c:pt idx="2">
                  <c:v>Sales</c:v>
                </c:pt>
                <c:pt idx="3">
                  <c:v>Operations</c:v>
                </c:pt>
                <c:pt idx="4">
                  <c:v>HR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30</c:v>
                </c:pt>
                <c:pt idx="1">
                  <c:v>35</c:v>
                </c:pt>
                <c:pt idx="2">
                  <c:v>20</c:v>
                </c:pt>
                <c:pt idx="3">
                  <c:v>10</c:v>
                </c:pt>
                <c:pt idx="4">
                  <c:v>5</c:v>
                </c:pt>
              </c:numCache>
            </c:numRef>
          </c:val>
        </c:ser>
        <c:holeSize val="50"/>
      </c:doughnutChart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radarChart>
        <c:radarStyle val="marker"/>
        <c:ser>
          <c:idx val="0"/>
          <c:order val="0"/>
          <c:tx>
            <c:strRef>
              <c:f>label0</c:f>
              <c:strCache>
                <c:ptCount val="1"/>
                <c:pt idx="0">
                  <c:v>Product A</c:v>
                </c:pt>
              </c:strCache>
            </c:strRef>
          </c:tx>
          <c:spPr>
            <a:noFill/>
            <a:ln w="25400">
              <a:solidFill>
                <a:srgbClr val="4F81BD"/>
              </a:solidFill>
            </a:ln>
          </c:spPr>
          <c:cat>
            <c:strRef>
              <c:f>cats</c:f>
              <c:strCache>
                <c:ptCount val="5"/>
                <c:pt idx="0">
                  <c:v>Speed</c:v>
                </c:pt>
                <c:pt idx="1">
                  <c:v>Reliability</c:v>
                </c:pt>
                <c:pt idx="2">
                  <c:v>Comfort</c:v>
                </c:pt>
                <c:pt idx="3">
                  <c:v>Safety</c:v>
                </c:pt>
                <c:pt idx="4">
                  <c:v>Price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8</c:v>
                </c:pt>
                <c:pt idx="1">
                  <c:v>7</c:v>
                </c:pt>
                <c:pt idx="2">
                  <c:v>9</c:v>
                </c:pt>
                <c:pt idx="3">
                  <c:v>6</c:v>
                </c:pt>
                <c:pt idx="4">
                  <c:v>5</c:v>
                </c:pt>
              </c:numCache>
            </c:numRef>
          </c: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Product B</c:v>
                </c:pt>
              </c:strCache>
            </c:strRef>
          </c:tx>
          <c:spPr>
            <a:noFill/>
            <a:ln w="25400">
              <a:solidFill>
                <a:srgbClr val="C0504D"/>
              </a:solidFill>
            </a:ln>
          </c:spPr>
          <c:cat>
            <c:strRef>
              <c:f>cats</c:f>
              <c:strCache>
                <c:ptCount val="5"/>
                <c:pt idx="0">
                  <c:v>Speed</c:v>
                </c:pt>
                <c:pt idx="1">
                  <c:v>Reliability</c:v>
                </c:pt>
                <c:pt idx="2">
                  <c:v>Comfort</c:v>
                </c:pt>
                <c:pt idx="3">
                  <c:v>Safety</c:v>
                </c:pt>
                <c:pt idx="4">
                  <c:v>Price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5"/>
                <c:pt idx="0">
                  <c:v>6</c:v>
                </c:pt>
                <c:pt idx="1">
                  <c:v>9</c:v>
                </c:pt>
                <c:pt idx="2">
                  <c:v>5</c:v>
                </c:pt>
                <c:pt idx="3">
                  <c:v>8</c:v>
                </c:pt>
                <c:pt idx="4">
                  <c:v>7</c:v>
                </c:pt>
              </c:numCache>
            </c:numRef>
          </c:val>
        </c:ser>
        <c:ser>
          <c:idx val="2"/>
          <c:order val="2"/>
          <c:tx>
            <c:strRef>
              <c:f>label2</c:f>
              <c:strCache>
                <c:ptCount val="1"/>
                <c:pt idx="0">
                  <c:v>Product C</c:v>
                </c:pt>
              </c:strCache>
            </c:strRef>
          </c:tx>
          <c:spPr>
            <a:noFill/>
            <a:ln w="25400">
              <a:solidFill>
                <a:srgbClr val="9BBB59"/>
              </a:solidFill>
            </a:ln>
          </c:spPr>
          <c:cat>
            <c:strRef>
              <c:f>cats</c:f>
              <c:strCache>
                <c:ptCount val="5"/>
                <c:pt idx="0">
                  <c:v>Speed</c:v>
                </c:pt>
                <c:pt idx="1">
                  <c:v>Reliability</c:v>
                </c:pt>
                <c:pt idx="2">
                  <c:v>Comfort</c:v>
                </c:pt>
                <c:pt idx="3">
                  <c:v>Safety</c:v>
                </c:pt>
                <c:pt idx="4">
                  <c:v>Price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5"/>
                <c:pt idx="0">
                  <c:v>7</c:v>
                </c:pt>
                <c:pt idx="1">
                  <c:v>6</c:v>
                </c:pt>
                <c:pt idx="2">
                  <c:v>7</c:v>
                </c:pt>
                <c:pt idx="3">
                  <c:v>9</c:v>
                </c:pt>
                <c:pt idx="4">
                  <c:v>8</c:v>
                </c:pt>
              </c:numCache>
            </c:numRef>
          </c:val>
        </c:ser>
        <c:axId val="100"/>
        <c:axId val="200"/>
      </c:radarChart>
      <c:cat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</c:plotArea>
    <c:legend>
      <c:legendPos val="b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ubbleChart>
        <c:varyColors val="0"/>
        <c:ser>
          <c:idx val="0"/>
          <c:order val="0"/>
          <c:tx>
            <c:strRef>
              <c:f>label0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4472C4">
                <a:alpha val="70000"/>
              </a:srgbClr>
            </a:solidFill>
            <a:ln>
              <a:solidFill>
                <a:srgbClr val="4472C4"/>
              </a:solidFill>
            </a:ln>
          </c:spPr>
          <c:xVal>
            <c:numRef>
              <c:f>x0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xVal>
          <c:yVal>
            <c:numRef>
              <c:f>y0</c:f>
              <c:numCache>
                <c:formatCode>General</c:formatCode>
                <c:ptCount val="4"/>
                <c:pt idx="0">
                  <c:v>50</c:v>
                </c:pt>
                <c:pt idx="1">
                  <c:v>80</c:v>
                </c:pt>
                <c:pt idx="2">
                  <c:v>65</c:v>
                </c:pt>
                <c:pt idx="3">
                  <c:v>90</c:v>
                </c:pt>
              </c:numCache>
            </c:numRef>
          </c:yVal>
          <c:bubbleSize>
            <c:numRef>
              <c:f>s0</c:f>
              <c:numCache>
                <c:formatCode>General</c:formatCode>
                <c:ptCount val="4"/>
                <c:pt idx="0">
                  <c:v>15</c:v>
                </c:pt>
                <c:pt idx="1">
                  <c:v>25</c:v>
                </c:pt>
                <c:pt idx="2">
                  <c:v>20</c:v>
                </c:pt>
                <c:pt idx="3">
                  <c:v>30</c:v>
                </c:pt>
              </c:numCache>
            </c:numRef>
          </c:bubbleSize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ED7D31">
                <a:alpha val="70000"/>
              </a:srgbClr>
            </a:solidFill>
            <a:ln>
              <a:solidFill>
                <a:srgbClr val="ED7D31"/>
              </a:solidFill>
            </a:ln>
          </c:spPr>
          <c:xVal>
            <c:numRef>
              <c:f>x1</c:f>
              <c:numCache>
                <c:formatCode>General</c:formatCode>
                <c:ptCount val="4"/>
                <c:pt idx="0">
                  <c:v>15</c:v>
                </c:pt>
                <c:pt idx="1">
                  <c:v>25</c:v>
                </c:pt>
                <c:pt idx="2">
                  <c:v>35</c:v>
                </c:pt>
                <c:pt idx="3">
                  <c:v>45</c:v>
                </c:pt>
              </c:numCache>
            </c:numRef>
          </c:xVal>
          <c:yVal>
            <c:numRef>
              <c:f>y1</c:f>
              <c:numCache>
                <c:formatCode>General</c:formatCode>
                <c:ptCount val="4"/>
                <c:pt idx="0">
                  <c:v>45</c:v>
                </c:pt>
                <c:pt idx="1">
                  <c:v>70</c:v>
                </c:pt>
                <c:pt idx="2">
                  <c:v>85</c:v>
                </c:pt>
                <c:pt idx="3">
                  <c:v>60</c:v>
                </c:pt>
              </c:numCache>
            </c:numRef>
          </c:yVal>
          <c:bubbleSize>
            <c:numRef>
              <c:f>s1</c:f>
              <c:numCache>
                <c:formatCode>General</c:formatCode>
                <c:ptCount val="4"/>
                <c:pt idx="0">
                  <c:v>20</c:v>
                </c:pt>
                <c:pt idx="1">
                  <c:v>10</c:v>
                </c:pt>
                <c:pt idx="2">
                  <c:v>30</c:v>
                </c:pt>
                <c:pt idx="3">
                  <c:v>25</c:v>
                </c:pt>
              </c:numCache>
            </c:numRef>
          </c:bubbleSize>
        </c:ser>
        <c:axId val="100"/>
        <c:axId val="200"/>
      </c:bubbleChart>
      <c:val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val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