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15 w16se wp14">
  <w:body>
    <w:p w14:paraId="6855D79E" w14:textId="77777777">
      <w:pPr>
        <w:tabs>
          <w:tab w:val="center" w:pos="4986"/>
          <w:tab w:val="right" w:pos="9972"/>
        </w:tabs>
      </w:pPr>
    </w:p>
    <w:p w14:paraId="4022F6B5" w14:textId="77777777">
      <w:pPr>
        <w:tabs>
          <w:tab w:val="center" w:pos="4153"/>
          <w:tab w:val="right" w:pos="8306"/>
        </w:tabs>
        <w:jc w:val="right"/>
        <w:rPr>
          <w:rFonts w:ascii="TimesLT" w:hAnsi="TimesLT"/>
          <w:b/>
          <w:bCs/>
          <w:i/>
          <w:iCs/>
          <w:lang w:val="en-US"/>
        </w:rPr>
      </w:pPr>
      <w:r>
        <w:rPr>
          <w:rFonts w:ascii="TimesLT" w:hAnsi="TimesLT"/>
          <w:b/>
          <w:bCs/>
          <w:i/>
          <w:iCs/>
          <w:lang w:val="en-US"/>
        </w:rPr>
        <w:t>Projektas</w:t>
      </w:r>
    </w:p>
    <w:p w14:paraId="3150707D" w14:textId="77777777">
      <w:pPr>
        <w:spacing w:line="360" w:lineRule="auto"/>
        <w:jc w:val="center"/>
        <w:rPr>
          <w:b/>
          <w:bCs/>
          <w:caps/>
          <w:szCs w:val="24"/>
        </w:rPr>
      </w:pPr>
    </w:p>
    <w:p w14:paraId="20247948" w14:textId="77777777">
      <w:pPr>
        <w:jc w:val="center"/>
        <w:rPr>
          <w:b/>
          <w:caps/>
          <w:szCs w:val="24"/>
        </w:rPr>
      </w:pPr>
    </w:p>
    <w:p w14:paraId="324D8BCF" w14:textId="77777777">
      <w:pPr>
        <w:jc w:val="center"/>
        <w:rPr>
          <w:b/>
          <w:caps/>
          <w:szCs w:val="24"/>
        </w:rPr>
      </w:pPr>
      <w:r>
        <w:rPr>
          <w:b/>
          <w:caps/>
          <w:szCs w:val="24"/>
        </w:rPr>
        <w:t>LIETUVOS RESPUBLIKOS</w:t>
      </w:r>
    </w:p>
    <w:p w14:paraId="63F95711" w14:textId="1636BD3C">
      <w:pPr>
        <w:jc w:val="center"/>
        <w:rPr>
          <w:b/>
          <w:caps/>
          <w:szCs w:val="24"/>
        </w:rPr>
      </w:pPr>
      <w:r>
        <w:rPr>
          <w:b/>
          <w:caps/>
          <w:szCs w:val="24"/>
        </w:rPr>
        <w:t>AKCIZŲ ĮSTATYMO NR. IX-569 1, 2, 3, 27, 35, 36, 37, 38, 39, 41, 43, 53, 58</w:t>
      </w:r>
      <w:r>
        <w:rPr>
          <w:b/>
          <w:caps/>
          <w:szCs w:val="24"/>
          <w:vertAlign w:val="superscript"/>
        </w:rPr>
        <w:t>1</w:t>
      </w:r>
      <w:r>
        <w:rPr>
          <w:b/>
          <w:caps/>
          <w:szCs w:val="24"/>
        </w:rPr>
        <w:t xml:space="preserve">, 59 STRAIPSNIŲ, II skyriaus PENKTOJO SKIRSNIO PAKEITIMO, ĮSTATYMO PAPILDYMO NAUJU 3 PRIEDU IR 40 straipsnio pripažinimo netekusiu galios ĮSTATYMo NR. XIV-1933 7, 9 STRAIPSNIŲ PAKEITIMO </w:t>
      </w:r>
    </w:p>
    <w:p w14:paraId="6F8E2354" w14:textId="77777777">
      <w:pPr>
        <w:jc w:val="center"/>
        <w:rPr>
          <w:caps/>
          <w:szCs w:val="24"/>
        </w:rPr>
      </w:pPr>
      <w:r>
        <w:rPr>
          <w:b/>
          <w:caps/>
          <w:szCs w:val="24"/>
        </w:rPr>
        <w:t xml:space="preserve">ĮSTATYMAS </w:t>
      </w:r>
    </w:p>
    <w:p w14:paraId="283D88DC" w14:textId="77777777">
      <w:pPr>
        <w:spacing w:line="360" w:lineRule="auto"/>
        <w:jc w:val="center"/>
        <w:rPr>
          <w:szCs w:val="24"/>
        </w:rPr>
      </w:pPr>
    </w:p>
    <w:p w14:paraId="5453A7AA" w14:textId="33ED0DF7">
      <w:pPr>
        <w:spacing w:line="360" w:lineRule="auto"/>
        <w:jc w:val="center"/>
        <w:rPr>
          <w:szCs w:val="24"/>
        </w:rPr>
      </w:pPr>
      <w:r>
        <w:rPr>
          <w:szCs w:val="24"/>
        </w:rPr>
        <w:t xml:space="preserve">2024 m.                       Nr.</w:t>
      </w:r>
    </w:p>
    <w:p w14:paraId="3436D34D" w14:textId="68B5B24C">
      <w:pPr>
        <w:spacing w:line="360" w:lineRule="auto"/>
        <w:jc w:val="center"/>
        <w:rPr>
          <w:szCs w:val="24"/>
        </w:rPr>
        <w:sectPr>
          <w:headerReference w:type="even" r:id="rId6"/>
          <w:headerReference w:type="default" r:id="rId7"/>
          <w:footerReference w:type="even" r:id="rId8"/>
          <w:footerReference w:type="default" r:id="rId9"/>
          <w:headerReference w:type="first" r:id="rId10"/>
          <w:footerReference w:type="first" r:id="rId11"/>
          <w:type w:val="continuous"/>
          <w:pgSz w:w="11907" w:h="16840" w:code="9"/>
          <w:pgMar w:top="1134" w:right="851" w:bottom="1134" w:left="1701" w:header="706" w:footer="706" w:gutter="0"/>
          <w:cols w:space="1296"/>
          <w:titlePg/>
        </w:sectPr>
      </w:pPr>
      <w:r>
        <w:rPr>
          <w:szCs w:val="24"/>
        </w:rPr>
        <w:t>Vilnius</w:t>
      </w:r>
    </w:p>
    <w:p w14:paraId="1B5723DD" w14:textId="77777777">
      <w:pPr>
        <w:tabs>
          <w:tab w:val="center" w:pos="4986"/>
          <w:tab w:val="right" w:pos="9972"/>
        </w:tabs>
      </w:pPr>
    </w:p>
    <w:p w14:paraId="3E38E5F1" w14:textId="77777777">
      <w:pPr>
        <w:tabs>
          <w:tab w:val="center" w:pos="4986"/>
          <w:tab w:val="right" w:pos="9972"/>
        </w:tabs>
      </w:pPr>
    </w:p>
    <w:p w14:paraId="4A279D46" w14:textId="77777777">
      <w:pPr>
        <w:tabs>
          <w:tab w:val="center" w:pos="4153"/>
          <w:tab w:val="right" w:pos="8306"/>
        </w:tabs>
        <w:spacing w:line="360" w:lineRule="auto"/>
        <w:rPr>
          <w:szCs w:val="24"/>
        </w:rPr>
      </w:pPr>
    </w:p>
    <w:p w14:paraId="73D24A2B" w14:textId="6BEB34D3">
      <w:pPr>
        <w:spacing w:line="360" w:lineRule="auto"/>
        <w:ind w:firstLine="720"/>
        <w:jc w:val="both"/>
        <w:rPr>
          <w:b/>
          <w:szCs w:val="24"/>
        </w:rPr>
      </w:pPr>
      <w:r>
        <w:rPr>
          <w:b/>
          <w:szCs w:val="24"/>
        </w:rPr>
        <w:t>1</w:t>
      </w:r>
      <w:r>
        <w:rPr>
          <w:b/>
          <w:szCs w:val="24"/>
        </w:rPr>
        <w:t xml:space="preserve"> straipsnis. </w:t>
      </w:r>
      <w:r>
        <w:rPr>
          <w:b/>
          <w:szCs w:val="24"/>
        </w:rPr>
        <w:t>7 straipsnio pakeitimas</w:t>
      </w:r>
    </w:p>
    <w:p w14:paraId="6574467C" w14:textId="01694F4C">
      <w:pPr>
        <w:spacing w:line="360" w:lineRule="auto"/>
        <w:ind w:firstLine="720"/>
        <w:jc w:val="both"/>
        <w:rPr>
          <w:szCs w:val="24"/>
        </w:rPr>
      </w:pPr>
      <w:r>
        <w:rPr>
          <w:szCs w:val="24"/>
        </w:rPr>
        <w:t>Pakeisti 7 straipsnio 2 dalį ir ją išdėstyti taip:</w:t>
      </w:r>
    </w:p>
    <w:p w14:paraId="011C19CA" w14:textId="137C8458">
      <w:pPr>
        <w:spacing w:line="360" w:lineRule="auto"/>
        <w:ind w:firstLine="720"/>
        <w:jc w:val="both"/>
        <w:rPr>
          <w:szCs w:val="24"/>
        </w:rPr>
      </w:pPr>
      <w:r>
        <w:rPr>
          <w:szCs w:val="24"/>
        </w:rPr>
        <w:t>„</w:t>
      </w:r>
      <w:r>
        <w:rPr>
          <w:szCs w:val="24"/>
        </w:rPr>
        <w:t>2</w:t>
      </w:r>
      <w:r>
        <w:rPr>
          <w:szCs w:val="24"/>
        </w:rPr>
        <w:t>. Pakeisti 37 straipsnį ir jį išdėstyti taip:</w:t>
      </w:r>
    </w:p>
    <w:p w14:paraId="2E160219" w14:textId="77777777">
      <w:pPr>
        <w:spacing w:line="360" w:lineRule="auto"/>
        <w:ind w:firstLine="720"/>
        <w:jc w:val="both"/>
        <w:rPr>
          <w:szCs w:val="24"/>
        </w:rPr>
      </w:pPr>
      <w:r>
        <w:rPr>
          <w:szCs w:val="24"/>
        </w:rPr>
        <w:t>„</w:t>
      </w:r>
      <w:r>
        <w:rPr>
          <w:b/>
          <w:szCs w:val="24"/>
        </w:rPr>
        <w:t>37 straipsnis. Gazoliams taikomi akcizų tarifai</w:t>
      </w:r>
    </w:p>
    <w:p w14:paraId="1D5B36E7" w14:textId="77777777">
      <w:pPr>
        <w:tabs>
          <w:tab w:val="left" w:pos="709"/>
        </w:tabs>
        <w:spacing w:line="360" w:lineRule="auto"/>
        <w:ind w:firstLine="720"/>
        <w:jc w:val="both"/>
        <w:rPr>
          <w:szCs w:val="24"/>
        </w:rPr>
      </w:pPr>
      <w:r>
        <w:rPr>
          <w:szCs w:val="24"/>
        </w:rPr>
        <w:t>1</w:t>
      </w:r>
      <w:r>
        <w:rPr>
          <w:szCs w:val="24"/>
        </w:rPr>
        <w:t>. Gazoliams, jeigu šiame straipsnyje nenustatyta kitaip, taikomas akcizų tarifas, susidedantis iš:</w:t>
      </w:r>
    </w:p>
    <w:p w14:paraId="4F55F546" w14:textId="77777777">
      <w:pPr>
        <w:tabs>
          <w:tab w:val="left" w:pos="709"/>
        </w:tabs>
        <w:spacing w:line="360" w:lineRule="auto"/>
        <w:ind w:firstLine="720"/>
        <w:jc w:val="both"/>
        <w:rPr>
          <w:szCs w:val="24"/>
        </w:rPr>
      </w:pPr>
      <w:r>
        <w:rPr>
          <w:szCs w:val="24"/>
        </w:rPr>
        <w:t>1</w:t>
      </w:r>
      <w:r>
        <w:rPr>
          <w:szCs w:val="24"/>
        </w:rPr>
        <w:t>) pastoviosios dalies – 466 eurų už 1 000 litrų produkto;</w:t>
      </w:r>
    </w:p>
    <w:p w14:paraId="2FAF6D36" w14:textId="7DB72364">
      <w:pPr>
        <w:tabs>
          <w:tab w:val="left" w:pos="709"/>
        </w:tabs>
        <w:spacing w:line="360" w:lineRule="auto"/>
        <w:ind w:firstLine="720"/>
        <w:jc w:val="both"/>
        <w:rPr>
          <w:szCs w:val="24"/>
        </w:rPr>
      </w:pPr>
      <w:r>
        <w:rPr>
          <w:szCs w:val="24"/>
        </w:rPr>
        <w:t>2</w:t>
      </w:r>
      <w:r>
        <w:rPr>
          <w:szCs w:val="24"/>
        </w:rPr>
        <w:t>) kintamosios dalies – CO</w:t>
      </w:r>
      <w:r>
        <w:rPr>
          <w:szCs w:val="24"/>
          <w:vertAlign w:val="subscript"/>
        </w:rPr>
        <w:t>2</w:t>
      </w:r>
      <w:r>
        <w:rPr>
          <w:szCs w:val="24"/>
        </w:rPr>
        <w:t xml:space="preserve"> dedamosios, nurodytos </w:t>
      </w:r>
      <w:r>
        <w:rPr>
          <w:bCs/>
          <w:szCs w:val="24"/>
        </w:rPr>
        <w:t>šio įstatymo 3 priede.</w:t>
      </w:r>
    </w:p>
    <w:p w14:paraId="77FD8CA0" w14:textId="77777777">
      <w:pPr>
        <w:tabs>
          <w:tab w:val="left" w:pos="993"/>
        </w:tabs>
        <w:spacing w:line="360" w:lineRule="auto"/>
        <w:ind w:firstLine="720"/>
        <w:jc w:val="both"/>
        <w:rPr>
          <w:szCs w:val="24"/>
        </w:rPr>
      </w:pPr>
      <w:r>
        <w:rPr>
          <w:szCs w:val="24"/>
        </w:rPr>
        <w:t>2</w:t>
      </w:r>
      <w:r>
        <w:rPr>
          <w:szCs w:val="24"/>
        </w:rPr>
        <w:t>. Šildymui skirtiems gazoliams (buitiniam krosnių kurui), pažymėtiems šio įstatymo 44 straipsnyje nustatyta tvarka, taikomas akcizų tarifas, susidedantis iš:</w:t>
      </w:r>
    </w:p>
    <w:p w14:paraId="5508D86D" w14:textId="77777777">
      <w:pPr>
        <w:tabs>
          <w:tab w:val="left" w:pos="993"/>
        </w:tabs>
        <w:spacing w:line="360" w:lineRule="auto"/>
        <w:ind w:firstLine="720"/>
        <w:jc w:val="both"/>
        <w:rPr>
          <w:szCs w:val="24"/>
        </w:rPr>
      </w:pPr>
      <w:r>
        <w:rPr>
          <w:szCs w:val="24"/>
        </w:rPr>
        <w:t>1</w:t>
      </w:r>
      <w:r>
        <w:rPr>
          <w:szCs w:val="24"/>
        </w:rPr>
        <w:t>) pastoviosios dalies – 60 eurų už 1 000 litrų produkto;</w:t>
      </w:r>
    </w:p>
    <w:p w14:paraId="4F63A2A4" w14:textId="77777777">
      <w:pPr>
        <w:tabs>
          <w:tab w:val="left" w:pos="993"/>
        </w:tabs>
        <w:spacing w:line="360" w:lineRule="auto"/>
        <w:ind w:firstLine="720"/>
        <w:jc w:val="both"/>
        <w:rPr>
          <w:bCs/>
          <w:szCs w:val="24"/>
        </w:rPr>
      </w:pPr>
      <w:r>
        <w:rPr>
          <w:szCs w:val="24"/>
        </w:rPr>
        <w:t>2</w:t>
      </w:r>
      <w:r>
        <w:rPr>
          <w:szCs w:val="24"/>
        </w:rPr>
        <w:t>) kintamosios dalies – CO</w:t>
      </w:r>
      <w:r>
        <w:rPr>
          <w:szCs w:val="24"/>
          <w:vertAlign w:val="subscript"/>
        </w:rPr>
        <w:t>2</w:t>
      </w:r>
      <w:r>
        <w:rPr>
          <w:szCs w:val="24"/>
        </w:rPr>
        <w:t xml:space="preserve"> dedamosios, nurodytos </w:t>
      </w:r>
      <w:r>
        <w:rPr>
          <w:bCs/>
          <w:szCs w:val="24"/>
        </w:rPr>
        <w:t>šio įstatymo 3 priede.</w:t>
      </w:r>
    </w:p>
    <w:p w14:paraId="3C634DA3" w14:textId="4FFB8021">
      <w:pPr>
        <w:tabs>
          <w:tab w:val="left" w:pos="993"/>
        </w:tabs>
        <w:spacing w:line="360" w:lineRule="auto"/>
        <w:ind w:firstLine="720"/>
        <w:jc w:val="both"/>
        <w:rPr>
          <w:szCs w:val="24"/>
        </w:rPr>
      </w:pPr>
      <w:r>
        <w:rPr>
          <w:szCs w:val="24"/>
        </w:rPr>
        <w:t>3</w:t>
      </w:r>
      <w:r>
        <w:rPr>
          <w:szCs w:val="24"/>
        </w:rPr>
        <w:t>. Gazoliams, skirtiems naudoti žemės ūkio veiklos, įskaitant akvakultūros ar verslinės žvejybos vidaus vandenyse veiklą, subjektams žemės ūkio produktų gamybai, taikomas 60 eurų už 1 000 litrų produkto akcizų tarifas, per vienus metus neviršijant Vyriausybės nustatytų gazolių kiekių. Šioje dalyje gazolių kiekis nurodytas esant jų 15 °C temperatūrai. Šioje dalyje nustatytos lengvatos taikymo tvarką nustato Vyriausybė ar jos įgaliota institucija.“.</w:t>
      </w:r>
    </w:p>
    <w:p w14:paraId="282C9F53" w14:textId="77777777">
      <w:pPr>
        <w:spacing w:line="360" w:lineRule="auto"/>
        <w:jc w:val="both"/>
        <w:rPr>
          <w:color w:val="212121"/>
          <w:szCs w:val="24"/>
        </w:rPr>
      </w:pPr>
    </w:p>
    <w:p w14:paraId="1107AE8F" w14:textId="1AA40766">
      <w:pPr>
        <w:spacing w:line="360" w:lineRule="auto"/>
        <w:ind w:firstLine="720"/>
        <w:jc w:val="both"/>
        <w:rPr>
          <w:b/>
          <w:szCs w:val="24"/>
        </w:rPr>
      </w:pPr>
      <w:r>
        <w:rPr>
          <w:b/>
          <w:szCs w:val="24"/>
        </w:rPr>
        <w:t>2</w:t>
      </w:r>
      <w:r>
        <w:rPr>
          <w:b/>
          <w:szCs w:val="24"/>
        </w:rPr>
        <w:t xml:space="preserve"> straipsnis. </w:t>
      </w:r>
      <w:r>
        <w:rPr>
          <w:b/>
          <w:szCs w:val="24"/>
        </w:rPr>
        <w:t>9 straipsnio pakeitimas</w:t>
      </w:r>
    </w:p>
    <w:p w14:paraId="6EC0691B" w14:textId="21BC8330">
      <w:pPr>
        <w:spacing w:line="360" w:lineRule="auto"/>
        <w:ind w:firstLine="720"/>
        <w:jc w:val="both"/>
        <w:rPr>
          <w:szCs w:val="24"/>
        </w:rPr>
      </w:pPr>
      <w:r>
        <w:rPr>
          <w:szCs w:val="24"/>
        </w:rPr>
        <w:t>Pakeisti 9 straipsnį ir jį išdėstyti taip:</w:t>
      </w:r>
    </w:p>
    <w:p w14:paraId="06E41D74" w14:textId="38121D0D">
      <w:pPr>
        <w:spacing w:line="360" w:lineRule="auto"/>
        <w:ind w:firstLine="720"/>
        <w:jc w:val="both"/>
        <w:rPr>
          <w:b/>
          <w:szCs w:val="24"/>
        </w:rPr>
      </w:pPr>
      <w:r>
        <w:rPr>
          <w:szCs w:val="24"/>
        </w:rPr>
        <w:t>„</w:t>
      </w:r>
      <w:r>
        <w:rPr>
          <w:b/>
          <w:szCs w:val="24"/>
        </w:rPr>
        <w:t>9</w:t>
      </w:r>
      <w:r>
        <w:rPr>
          <w:b/>
          <w:szCs w:val="24"/>
        </w:rPr>
        <w:t xml:space="preserve"> straipsnis. </w:t>
      </w:r>
      <w:r>
        <w:rPr>
          <w:b/>
          <w:szCs w:val="24"/>
        </w:rPr>
        <w:t>39 straipsnio pakeitimas</w:t>
      </w:r>
    </w:p>
    <w:p w14:paraId="784A9193" w14:textId="77777777">
      <w:pPr>
        <w:spacing w:line="360" w:lineRule="auto"/>
        <w:ind w:firstLine="720"/>
        <w:jc w:val="both"/>
        <w:rPr>
          <w:szCs w:val="24"/>
        </w:rPr>
      </w:pPr>
      <w:r>
        <w:rPr>
          <w:szCs w:val="24"/>
        </w:rPr>
        <w:t>Pakeisti 39 straipsnį ir jį išdėstyti taip:</w:t>
      </w:r>
    </w:p>
    <w:p w14:paraId="5FBFBB92" w14:textId="77777777">
      <w:pPr>
        <w:widowControl w:val="0"/>
        <w:spacing w:line="360" w:lineRule="auto"/>
        <w:ind w:left="2268" w:hanging="1548"/>
        <w:jc w:val="both"/>
        <w:rPr>
          <w:b/>
          <w:szCs w:val="24"/>
        </w:rPr>
      </w:pPr>
      <w:r>
        <w:rPr>
          <w:szCs w:val="24"/>
        </w:rPr>
        <w:t>„</w:t>
      </w:r>
      <w:r>
        <w:rPr>
          <w:b/>
          <w:szCs w:val="24"/>
        </w:rPr>
        <w:t>39 straipsnis. Naftos dujoms ir dujiniams angliavandeniliams (išskyrus gamtines dujas) taikomi akcizų tarifai</w:t>
      </w:r>
    </w:p>
    <w:p w14:paraId="598BC3F4" w14:textId="3A3B70C1">
      <w:pPr>
        <w:widowControl w:val="0"/>
        <w:spacing w:line="360" w:lineRule="auto"/>
        <w:ind w:firstLine="720"/>
        <w:jc w:val="both"/>
        <w:rPr>
          <w:szCs w:val="24"/>
        </w:rPr>
      </w:pPr>
      <w:r>
        <w:rPr>
          <w:szCs w:val="24"/>
        </w:rPr>
        <w:t>1</w:t>
      </w:r>
      <w:r>
        <w:rPr>
          <w:szCs w:val="24"/>
        </w:rPr>
        <w:t>. Naftos dujoms ir dujiniams angliavandeniliams (išskyrus gamtines dujas), jeigu šiame straipsnyje nenustatyta kitaip, taikomas akcizų tarifas, susidedantis iš:</w:t>
      </w:r>
    </w:p>
    <w:p w14:paraId="61E94167" w14:textId="77777777">
      <w:pPr>
        <w:widowControl w:val="0"/>
        <w:spacing w:line="360" w:lineRule="auto"/>
        <w:ind w:firstLine="720"/>
        <w:jc w:val="both"/>
        <w:rPr>
          <w:szCs w:val="24"/>
        </w:rPr>
      </w:pPr>
      <w:r>
        <w:rPr>
          <w:szCs w:val="24"/>
        </w:rPr>
        <w:t>1</w:t>
      </w:r>
      <w:r>
        <w:rPr>
          <w:szCs w:val="24"/>
        </w:rPr>
        <w:t>) pastoviosios dalies – 304,10 euro už toną produkto;</w:t>
      </w:r>
    </w:p>
    <w:p w14:paraId="20A1C45D" w14:textId="29F14BBF">
      <w:pPr>
        <w:widowControl w:val="0"/>
        <w:spacing w:line="360" w:lineRule="auto"/>
        <w:ind w:left="2268" w:hanging="1548"/>
        <w:jc w:val="both"/>
        <w:rPr>
          <w:szCs w:val="24"/>
        </w:rPr>
      </w:pPr>
      <w:r>
        <w:rPr>
          <w:szCs w:val="24"/>
        </w:rPr>
        <w:t>2</w:t>
      </w:r>
      <w:r>
        <w:rPr>
          <w:szCs w:val="24"/>
        </w:rPr>
        <w:t>) kintamosios dalies – CO</w:t>
      </w:r>
      <w:r>
        <w:rPr>
          <w:szCs w:val="24"/>
          <w:vertAlign w:val="subscript"/>
        </w:rPr>
        <w:t>2</w:t>
      </w:r>
      <w:r>
        <w:rPr>
          <w:szCs w:val="24"/>
        </w:rPr>
        <w:t xml:space="preserve"> dedamosios, nurodytos </w:t>
      </w:r>
      <w:r>
        <w:rPr>
          <w:bCs/>
          <w:szCs w:val="24"/>
        </w:rPr>
        <w:t>šio įstatymo 3 priede</w:t>
      </w:r>
      <w:r>
        <w:rPr>
          <w:szCs w:val="24"/>
        </w:rPr>
        <w:t>.</w:t>
      </w:r>
    </w:p>
    <w:p w14:paraId="280C8C1D" w14:textId="3845B9AD">
      <w:pPr>
        <w:widowControl w:val="0"/>
        <w:spacing w:line="360" w:lineRule="auto"/>
        <w:ind w:firstLine="720"/>
        <w:jc w:val="both"/>
        <w:rPr>
          <w:szCs w:val="24"/>
        </w:rPr>
      </w:pPr>
      <w:r>
        <w:rPr>
          <w:szCs w:val="24"/>
        </w:rPr>
        <w:t>2</w:t>
      </w:r>
      <w:r>
        <w:rPr>
          <w:szCs w:val="24"/>
        </w:rPr>
        <w:t xml:space="preserve">. </w:t>
      </w:r>
      <w:r>
        <w:rPr>
          <w:bCs/>
          <w:szCs w:val="24"/>
        </w:rPr>
        <w:t xml:space="preserve">Produkto akcizas netaikomas </w:t>
      </w:r>
      <w:r>
        <w:rPr>
          <w:szCs w:val="24"/>
        </w:rPr>
        <w:t>naftos dujoms ir dujiniams angliavandeniliams (išskyrus gamtines dujas), kai jie naudojami kaip šildymui skirtas kuras, išskyrus šio straipsnio 3 dalyje nurodytą atvejį, taip pat šildymui skirtoms naftos dujoms ir dujiniams angliavandeniliams, išpilstytiems į dujų balionus.</w:t>
      </w:r>
    </w:p>
    <w:p w14:paraId="1A4F58F1" w14:textId="0D79E3ED">
      <w:pPr>
        <w:widowControl w:val="0"/>
        <w:spacing w:line="360" w:lineRule="auto"/>
        <w:ind w:firstLine="720"/>
        <w:jc w:val="both"/>
        <w:rPr>
          <w:szCs w:val="24"/>
        </w:rPr>
      </w:pPr>
      <w:r>
        <w:rPr>
          <w:szCs w:val="24"/>
        </w:rPr>
        <w:t>3</w:t>
      </w:r>
      <w:r>
        <w:rPr>
          <w:szCs w:val="24"/>
        </w:rPr>
        <w:t>. Naftos dujoms ir dujiniams angliavandeniliams (išskyrus gamtines dujas), kai jie naudojami kaip šildymui skirtas kuras verslo reikmėms (šiame įstatyme naftos dujų ir dujinių angliavandenilių (išskyrus gamtines dujas) kaip šildymui skirto kuro naudojimas verslo reikmėms suprantamas kaip jų naudojimas asmens, kuris vykdo ekonominę veiklą, kaip ji apibrėžta Pridėtinės vertės mokesčio įstatyme), taikomas akcizų tarifas, susidedantis iš:</w:t>
      </w:r>
    </w:p>
    <w:p w14:paraId="0B9F5377" w14:textId="10A4DD43">
      <w:pPr>
        <w:widowControl w:val="0"/>
        <w:spacing w:line="360" w:lineRule="auto"/>
        <w:ind w:firstLine="720"/>
        <w:jc w:val="both"/>
        <w:rPr>
          <w:szCs w:val="24"/>
        </w:rPr>
      </w:pPr>
      <w:r>
        <w:rPr>
          <w:szCs w:val="24"/>
        </w:rPr>
        <w:t>1</w:t>
      </w:r>
      <w:r>
        <w:rPr>
          <w:szCs w:val="24"/>
        </w:rPr>
        <w:t>) pastoviosios dalies – 0 euro už toną produkto;</w:t>
      </w:r>
    </w:p>
    <w:p w14:paraId="6C40A341" w14:textId="49A896E0">
      <w:pPr>
        <w:widowControl w:val="0"/>
        <w:spacing w:line="360" w:lineRule="auto"/>
        <w:ind w:firstLine="720"/>
        <w:jc w:val="both"/>
        <w:rPr>
          <w:szCs w:val="24"/>
        </w:rPr>
      </w:pPr>
      <w:r>
        <w:rPr>
          <w:szCs w:val="24"/>
        </w:rPr>
        <w:t>2</w:t>
      </w:r>
      <w:r>
        <w:rPr>
          <w:szCs w:val="24"/>
        </w:rPr>
        <w:t>) kintamosios dalis – CO</w:t>
      </w:r>
      <w:r>
        <w:rPr>
          <w:szCs w:val="24"/>
          <w:vertAlign w:val="subscript"/>
        </w:rPr>
        <w:t>2</w:t>
      </w:r>
      <w:r>
        <w:rPr>
          <w:szCs w:val="24"/>
        </w:rPr>
        <w:t xml:space="preserve"> dedamosios, nurodytos šio įstatymo 3 priede.</w:t>
      </w:r>
    </w:p>
    <w:p w14:paraId="40F959C1" w14:textId="070ADD92">
      <w:pPr>
        <w:widowControl w:val="0"/>
        <w:spacing w:line="360" w:lineRule="auto"/>
        <w:ind w:firstLine="720"/>
        <w:jc w:val="both"/>
        <w:rPr>
          <w:szCs w:val="24"/>
        </w:rPr>
      </w:pPr>
      <w:r>
        <w:rPr>
          <w:szCs w:val="24"/>
        </w:rPr>
        <w:t>4</w:t>
      </w:r>
      <w:r>
        <w:rPr>
          <w:szCs w:val="24"/>
        </w:rPr>
        <w:t>. Šio straipsnio 2 ir 3 dalyse nustatytų lengvatų taikymo tvarką nustato centrinis mokesčių administratorius.“.</w:t>
      </w:r>
    </w:p>
    <w:p w14:paraId="5EF35325" w14:textId="7F10B349">
      <w:pPr>
        <w:spacing w:line="360" w:lineRule="auto"/>
        <w:ind w:firstLine="720"/>
        <w:jc w:val="both"/>
        <w:rPr>
          <w:b/>
          <w:szCs w:val="24"/>
        </w:rPr>
      </w:pPr>
      <w:r>
        <w:rPr>
          <w:b/>
          <w:szCs w:val="24"/>
          <w:lang w:val="en-US"/>
        </w:rPr>
        <w:t>3</w:t>
      </w:r>
      <w:r>
        <w:rPr>
          <w:b/>
          <w:szCs w:val="24"/>
        </w:rPr>
        <w:t xml:space="preserve"> straipsnis. </w:t>
      </w:r>
      <w:r>
        <w:rPr>
          <w:b/>
          <w:szCs w:val="24"/>
        </w:rPr>
        <w:t>Įstatymo įsigaliojimas ir įgyvendinimas</w:t>
      </w:r>
    </w:p>
    <w:p w14:paraId="37C9A4EF" w14:textId="77777777">
      <w:pPr>
        <w:spacing w:line="360" w:lineRule="auto"/>
        <w:ind w:firstLine="720"/>
        <w:jc w:val="both"/>
        <w:rPr>
          <w:szCs w:val="24"/>
        </w:rPr>
      </w:pPr>
      <w:r>
        <w:rPr>
          <w:szCs w:val="24"/>
        </w:rPr>
        <w:t>1</w:t>
      </w:r>
      <w:r>
        <w:rPr>
          <w:szCs w:val="24"/>
        </w:rPr>
        <w:t>. Šio įstatymo 1 ir 3 straipsniai įsigalioja 2024 m. balandžio 1 d.</w:t>
      </w:r>
    </w:p>
    <w:p w14:paraId="4DC92D48" w14:textId="77777777">
      <w:pPr>
        <w:spacing w:line="360" w:lineRule="auto"/>
        <w:ind w:firstLine="720"/>
        <w:jc w:val="both"/>
        <w:rPr>
          <w:szCs w:val="24"/>
        </w:rPr>
      </w:pPr>
      <w:r>
        <w:rPr>
          <w:szCs w:val="24"/>
        </w:rPr>
        <w:t>2</w:t>
      </w:r>
      <w:r>
        <w:rPr>
          <w:szCs w:val="24"/>
        </w:rPr>
        <w:t>. Centrinis mokesčių administratorius iki 2024 m. kovo 31 d. priima įgyvendinamuosius teisės aktus.</w:t>
      </w:r>
    </w:p>
    <w:p w14:paraId="46E2DE44" w14:textId="77777777">
      <w:pPr>
        <w:widowControl w:val="0"/>
        <w:spacing w:line="360" w:lineRule="auto"/>
        <w:ind w:firstLine="720"/>
        <w:jc w:val="both"/>
        <w:rPr>
          <w:szCs w:val="24"/>
        </w:rPr>
      </w:pPr>
    </w:p>
    <w:p w14:paraId="1579816F" w14:textId="0263DE89">
      <w:pPr>
        <w:spacing w:line="360" w:lineRule="auto"/>
        <w:jc w:val="both"/>
        <w:rPr>
          <w:bCs/>
          <w:color w:val="FF0000"/>
          <w:szCs w:val="24"/>
        </w:rPr>
      </w:pPr>
    </w:p>
    <w:p w14:paraId="6AC1A807" w14:textId="77777777">
      <w:pPr>
        <w:spacing w:line="360" w:lineRule="auto"/>
        <w:ind w:firstLine="720"/>
        <w:jc w:val="both"/>
        <w:rPr>
          <w:szCs w:val="24"/>
        </w:rPr>
      </w:pPr>
    </w:p>
    <w:p w14:paraId="1158B261" w14:textId="77777777">
      <w:pPr>
        <w:spacing w:line="360" w:lineRule="auto"/>
        <w:ind w:firstLine="720"/>
        <w:jc w:val="both"/>
        <w:rPr>
          <w:i/>
          <w:szCs w:val="24"/>
        </w:rPr>
      </w:pPr>
      <w:r>
        <w:rPr>
          <w:i/>
          <w:szCs w:val="24"/>
        </w:rPr>
        <w:t>Skelbiu šį Lietuvos Respublikos Seimo priimtą įstatymą.</w:t>
      </w:r>
    </w:p>
    <w:p w14:paraId="12BFF208" w14:textId="77777777">
      <w:pPr>
        <w:spacing w:line="360" w:lineRule="auto"/>
        <w:rPr>
          <w:i/>
          <w:szCs w:val="24"/>
        </w:rPr>
      </w:pPr>
    </w:p>
    <w:p w14:paraId="68B4D89F" w14:textId="77777777">
      <w:pPr>
        <w:spacing w:line="360" w:lineRule="auto"/>
        <w:rPr>
          <w:i/>
          <w:szCs w:val="24"/>
        </w:rPr>
      </w:pPr>
    </w:p>
    <w:p w14:paraId="7CE7430B" w14:textId="77777777">
      <w:pPr>
        <w:spacing w:line="360" w:lineRule="auto"/>
        <w:rPr>
          <w:szCs w:val="24"/>
        </w:rPr>
      </w:pPr>
    </w:p>
    <w:p w14:paraId="4F0403CB" w14:textId="0CFD2570">
      <w:pPr>
        <w:tabs>
          <w:tab w:val="right" w:pos="9356"/>
        </w:tabs>
        <w:spacing w:line="360" w:lineRule="auto"/>
        <w:rPr>
          <w:szCs w:val="24"/>
        </w:rPr>
      </w:pPr>
      <w:r>
        <w:rPr>
          <w:szCs w:val="24"/>
        </w:rPr>
        <w:t>Respublikos Prezidentas</w:t>
      </w:r>
    </w:p>
    <w:sectPr>
      <w:type w:val="continuous"/>
      <w:pgSz w:w="11907" w:h="16840" w:code="9"/>
      <w:pgMar w:top="1134" w:right="851" w:bottom="1134" w:left="1701" w:header="706" w:footer="706" w:gutter="0"/>
      <w:cols w:space="1296"/>
      <w:titlePg/>
      <w:docGrid w:linePitch="326"/>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C21D6B" w14:textId="77777777">
      <w:pPr>
        <w:rPr>
          <w:rFonts w:ascii="TimesLT" w:hAnsi="TimesLT"/>
          <w:lang w:val="en-US"/>
        </w:rPr>
      </w:pPr>
      <w:r>
        <w:rPr>
          <w:rFonts w:ascii="TimesLT" w:hAnsi="TimesLT"/>
          <w:lang w:val="en-US"/>
        </w:rPr>
        <w:separator/>
      </w:r>
    </w:p>
  </w:endnote>
  <w:endnote w:type="continuationSeparator" w:id="0">
    <w:p w14:paraId="5EEF553D" w14:textId="77777777">
      <w:pPr>
        <w:rPr>
          <w:rFonts w:ascii="TimesLT" w:hAnsi="TimesLT"/>
          <w:lang w:val="en-US"/>
        </w:rPr>
      </w:pPr>
      <w:r>
        <w:rPr>
          <w:rFonts w:ascii="TimesLT" w:hAnsi="TimesLT"/>
          <w:lang w:val="en-US"/>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AFF" w:usb1="C0007841" w:usb2="00000009" w:usb3="00000000" w:csb0="000001FF" w:csb1="00000000"/>
  </w:font>
  <w:font w:name="TimesLT">
    <w:altName w:val="Times New Roman"/>
    <w:panose1 w:val="02020603050405020304"/>
    <w:charset w:val="BA"/>
    <w:family w:val="roman"/>
    <w:pitch w:val="variable"/>
    <w:sig w:usb0="E0002AFF" w:usb1="C0007841" w:usb2="00000009" w:usb3="00000000" w:csb0="000001FF"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3E3881" w14:textId="77777777">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14:paraId="240A8368" w14:textId="77777777">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D0102" w14:textId="77777777">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F6908" w14:textId="77777777">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75A9A1" w14:textId="77777777">
      <w:pPr>
        <w:rPr>
          <w:rFonts w:ascii="TimesLT" w:hAnsi="TimesLT"/>
          <w:lang w:val="en-US"/>
        </w:rPr>
      </w:pPr>
      <w:r>
        <w:rPr>
          <w:rFonts w:ascii="TimesLT" w:hAnsi="TimesLT"/>
          <w:lang w:val="en-US"/>
        </w:rPr>
        <w:separator/>
      </w:r>
    </w:p>
  </w:footnote>
  <w:footnote w:type="continuationSeparator" w:id="0">
    <w:p w14:paraId="1AA63AE9" w14:textId="77777777">
      <w:pPr>
        <w:rPr>
          <w:rFonts w:ascii="TimesLT" w:hAnsi="TimesLT"/>
          <w:lang w:val="en-US"/>
        </w:rPr>
      </w:pPr>
      <w:r>
        <w:rPr>
          <w:rFonts w:ascii="TimesLT" w:hAnsi="TimesLT"/>
          <w:lang w:val="en-US"/>
        </w:rP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1E1E4D" w14:textId="77777777">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14:paraId="0B7D5761" w14:textId="77777777">
    <w:pPr>
      <w:tabs>
        <w:tab w:val="center" w:pos="4153"/>
        <w:tab w:val="right" w:pos="8306"/>
      </w:tabs>
      <w:rPr>
        <w:rFonts w:ascii="TimesLT" w:hAnsi="TimesLT"/>
        <w:lang w:val="en-US"/>
      </w:rPr>
    </w:pPr>
  </w:p>
</w:hdr>
</file>

<file path=word/header2.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AEF65" w14:textId="43719A5F">
    <w:pPr>
      <w:framePr w:wrap="auto" w:vAnchor="text" w:hAnchor="page" w:x="6337" w:y="15"/>
      <w:tabs>
        <w:tab w:val="center" w:pos="4153"/>
        <w:tab w:val="right" w:pos="8306"/>
      </w:tabs>
      <w:rPr>
        <w:szCs w:val="24"/>
        <w:lang w:val="en-US"/>
      </w:rPr>
    </w:pPr>
    <w:r>
      <w:rPr>
        <w:szCs w:val="24"/>
        <w:lang w:val="en-US"/>
      </w:rPr>
      <w:fldChar w:fldCharType="begin"/>
    </w:r>
    <w:r>
      <w:rPr>
        <w:szCs w:val="24"/>
        <w:lang w:val="en-US"/>
      </w:rPr>
      <w:instrText xml:space="preserve">PAGE  </w:instrText>
    </w:r>
    <w:r>
      <w:rPr>
        <w:szCs w:val="24"/>
        <w:lang w:val="en-US"/>
      </w:rPr>
      <w:fldChar w:fldCharType="separate"/>
    </w:r>
    <w:r>
      <w:rPr>
        <w:szCs w:val="24"/>
        <w:lang w:val="en-US"/>
      </w:rPr>
      <w:t>2</w:t>
    </w:r>
    <w:r>
      <w:rPr>
        <w:szCs w:val="24"/>
        <w:lang w:val="en-US"/>
      </w:rPr>
      <w:fldChar w:fldCharType="end"/>
    </w:r>
  </w:p>
  <w:p w14:paraId="5CAEE15D" w14:textId="77777777">
    <w:pPr>
      <w:tabs>
        <w:tab w:val="center" w:pos="4153"/>
        <w:tab w:val="right" w:pos="8306"/>
      </w:tabs>
      <w:rPr>
        <w:rFonts w:ascii="TimesLT" w:hAnsi="TimesLT"/>
        <w:lang w:val="en-US"/>
      </w:rPr>
    </w:pPr>
  </w:p>
</w:hdr>
</file>

<file path=word/header3.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F9AF6B" w14:textId="185F636F">
    <w:pPr>
      <w:tabs>
        <w:tab w:val="center" w:pos="4986"/>
        <w:tab w:val="right" w:pos="9972"/>
      </w:tabs>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revisionView w:inkAnnotations="0"/>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62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5092C5"/>
  <w15:docId w15:val="{87747EB4-B042-4C15-BAC5-8AF736B0BA57}"/>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ivs>
    <w:div w:id="1337146563">
      <w:bodyDiv w:val="1"/>
      <w:marLeft w:val="0"/>
      <w:marRight w:val="0"/>
      <w:marTop w:val="0"/>
      <w:marBottom w:val="0"/>
      <w:divBdr>
        <w:top w:val="none" w:sz="0" w:space="0" w:color="auto"/>
        <w:left w:val="none" w:sz="0" w:space="0" w:color="auto"/>
        <w:bottom w:val="none" w:sz="0" w:space="0" w:color="auto"/>
        <w:right w:val="none" w:sz="0" w:space="0" w:color="auto"/>
      </w:divBdr>
    </w:div>
    <w:div w:id="145124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fontTable" Target="fontTable.xml"/>
  <Relationship Id="rId13"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459</Words>
  <Characters>2912</Characters>
  <Application>Microsoft Office Word</Application>
  <DocSecurity>4</DocSecurity>
  <Lines>69</Lines>
  <Paragraphs>40</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LR Seimas</Company>
  <LinksUpToDate>false</LinksUpToDate>
  <CharactersWithSpaces>3331</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2024-01-30T09:16:00Z</dcterms:created>
  <dc:creator>MOZERĖ Dainora</dc:creator>
  <lastModifiedBy>adlibuser</lastModifiedBy>
  <lastPrinted>2024-01-25T17:58:00Z</lastPrinted>
  <dcterms:modified xsi:type="dcterms:W3CDTF">2024-01-30T09:16:00Z</dcterms:modified>
  <revision>2</revision>
</coreProperties>
</file>